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4" w:lineRule="exact"/>
        <w:rPr>
          <w:sz w:val="24"/>
          <w:szCs w:val="24"/>
          <w:color w:val="auto"/>
        </w:rPr>
      </w:pPr>
    </w:p>
    <w:p>
      <w:pPr>
        <w:ind w:left="500" w:hanging="474"/>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2"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001-40978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Fluence Energy,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1340"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63"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(State or other jurisdiction of</w:t>
      </w:r>
    </w:p>
    <w:p>
      <w:pPr>
        <w:spacing w:after="0" w:line="22"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incorporation or organization)</w:t>
      </w:r>
    </w:p>
    <w:p>
      <w:pPr>
        <w:spacing w:after="0" w:line="146" w:lineRule="exact"/>
        <w:rPr>
          <w:sz w:val="24"/>
          <w:szCs w:val="24"/>
          <w:color w:val="auto"/>
        </w:rPr>
      </w:pPr>
    </w:p>
    <w:p>
      <w:pPr>
        <w:ind w:left="1800"/>
        <w:spacing w:after="0"/>
        <w:rPr>
          <w:sz w:val="20"/>
          <w:szCs w:val="20"/>
          <w:color w:val="auto"/>
        </w:rPr>
      </w:pPr>
      <w:r>
        <w:rPr>
          <w:rFonts w:ascii="Arial" w:cs="Arial" w:eastAsia="Arial" w:hAnsi="Arial"/>
          <w:sz w:val="16"/>
          <w:szCs w:val="16"/>
          <w:b w:val="1"/>
          <w:bCs w:val="1"/>
          <w:color w:val="auto"/>
        </w:rPr>
        <w:t>4601 Fairfax Drive, Suite 600</w:t>
      </w:r>
    </w:p>
    <w:p>
      <w:pPr>
        <w:spacing w:after="0" w:line="23"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Arlington, Virginia</w:t>
      </w:r>
    </w:p>
    <w:p>
      <w:pPr>
        <w:spacing w:after="0" w:line="59"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98" w:lineRule="exact"/>
        <w:rPr>
          <w:sz w:val="24"/>
          <w:szCs w:val="24"/>
          <w:color w:val="auto"/>
        </w:rPr>
      </w:pPr>
    </w:p>
    <w:p>
      <w:pPr>
        <w:jc w:val="center"/>
        <w:ind w:left="3640"/>
        <w:spacing w:after="0"/>
        <w:rPr>
          <w:sz w:val="20"/>
          <w:szCs w:val="20"/>
          <w:color w:val="auto"/>
        </w:rPr>
      </w:pPr>
      <w:r>
        <w:rPr>
          <w:rFonts w:ascii="Arial" w:cs="Arial" w:eastAsia="Arial" w:hAnsi="Arial"/>
          <w:sz w:val="16"/>
          <w:szCs w:val="16"/>
          <w:b w:val="1"/>
          <w:bCs w:val="1"/>
          <w:color w:val="auto"/>
        </w:rPr>
        <w:t>(833) 358-3623</w:t>
      </w:r>
    </w:p>
    <w:p>
      <w:pPr>
        <w:spacing w:after="0" w:line="23" w:lineRule="exact"/>
        <w:rPr>
          <w:sz w:val="24"/>
          <w:szCs w:val="24"/>
          <w:color w:val="auto"/>
        </w:rPr>
      </w:pPr>
    </w:p>
    <w:p>
      <w:pPr>
        <w:jc w:val="center"/>
        <w:ind w:left="3640"/>
        <w:spacing w:after="0"/>
        <w:rPr>
          <w:sz w:val="20"/>
          <w:szCs w:val="20"/>
          <w:color w:val="auto"/>
        </w:rPr>
      </w:pPr>
      <w:r>
        <w:rPr>
          <w:rFonts w:ascii="Arial" w:cs="Arial" w:eastAsia="Arial" w:hAnsi="Arial"/>
          <w:sz w:val="16"/>
          <w:szCs w:val="16"/>
          <w:color w:val="auto"/>
        </w:rPr>
        <w:t>Registrant's telephone number, including area code</w:t>
      </w:r>
    </w:p>
    <w:p>
      <w:pPr>
        <w:spacing w:after="0" w:line="8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87-1304612</w:t>
      </w:r>
    </w:p>
    <w:p>
      <w:pPr>
        <w:spacing w:after="0" w:line="26" w:lineRule="exact"/>
        <w:rPr>
          <w:sz w:val="24"/>
          <w:szCs w:val="24"/>
          <w:color w:val="auto"/>
        </w:rPr>
      </w:pPr>
    </w:p>
    <w:p>
      <w:pPr>
        <w:ind w:left="60"/>
        <w:spacing w:after="0"/>
        <w:rPr>
          <w:sz w:val="20"/>
          <w:szCs w:val="20"/>
          <w:color w:val="auto"/>
        </w:rPr>
      </w:pPr>
      <w:r>
        <w:rPr>
          <w:rFonts w:ascii="Arial" w:cs="Arial" w:eastAsia="Arial" w:hAnsi="Arial"/>
          <w:sz w:val="15"/>
          <w:szCs w:val="15"/>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34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22203</w:t>
      </w:r>
    </w:p>
    <w:p>
      <w:pPr>
        <w:spacing w:after="0" w:line="104"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1047" w:lineRule="exact"/>
        <w:rPr>
          <w:sz w:val="24"/>
          <w:szCs w:val="24"/>
          <w:color w:val="auto"/>
        </w:rPr>
      </w:pPr>
    </w:p>
    <w:p>
      <w:pPr>
        <w:sectPr>
          <w:pgSz w:w="11900" w:h="16838" w:orient="portrait"/>
          <w:cols w:equalWidth="0" w:num="2">
            <w:col w:w="7600" w:space="220"/>
            <w:col w:w="3420"/>
          </w:cols>
          <w:pgMar w:left="320" w:top="1340" w:right="339" w:bottom="1440" w:gutter="0" w:footer="0" w:header="0"/>
          <w:type w:val="continuous"/>
        </w:sectPr>
      </w:pPr>
    </w:p>
    <w:tbl>
      <w:tblPr>
        <w:tblLayout w:type="fixed"/>
        <w:tblInd w:w="10"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$0.00001 par value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FLNC</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0D0D0D"/>
                <w:w w:val="91"/>
              </w:rPr>
              <w:t>The Nasdaq Global Select Market</w:t>
            </w:r>
          </w:p>
        </w:tc>
      </w:tr>
    </w:tbl>
    <w:p>
      <w:pPr>
        <w:spacing w:after="0" w:line="85" w:lineRule="exact"/>
        <w:rPr>
          <w:sz w:val="24"/>
          <w:szCs w:val="24"/>
          <w:color w:val="auto"/>
        </w:rPr>
      </w:pPr>
    </w:p>
    <w:p>
      <w:pPr>
        <w:ind w:right="380"/>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145" w:lineRule="exact"/>
        <w:rPr>
          <w:sz w:val="24"/>
          <w:szCs w:val="24"/>
          <w:color w:val="auto"/>
        </w:rPr>
      </w:pPr>
    </w:p>
    <w:p>
      <w:pPr>
        <w:jc w:val="both"/>
        <w:ind w:right="640"/>
        <w:spacing w:after="0" w:line="26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Arial" w:cs="Arial" w:eastAsia="Arial" w:hAnsi="Arial"/>
          <w:sz w:val="17"/>
          <w:szCs w:val="17"/>
          <w:color w:val="auto"/>
        </w:rPr>
        <w:t>o</w:t>
      </w:r>
    </w:p>
    <w:p>
      <w:pPr>
        <w:spacing w:after="0" w:line="80" w:lineRule="exact"/>
        <w:rPr>
          <w:sz w:val="24"/>
          <w:szCs w:val="24"/>
          <w:color w:val="auto"/>
        </w:rPr>
      </w:pPr>
    </w:p>
    <w:p>
      <w:pPr>
        <w:ind w:right="16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740"/>
              <w:spacing w:after="0"/>
              <w:rPr>
                <w:sz w:val="20"/>
                <w:szCs w:val="20"/>
                <w:color w:val="auto"/>
              </w:rPr>
            </w:pPr>
            <w:r>
              <w:rPr>
                <w:rFonts w:ascii="Arial" w:cs="Arial" w:eastAsia="Arial" w:hAnsi="Arial"/>
                <w:sz w:val="18"/>
                <w:szCs w:val="18"/>
                <w:color w:val="auto"/>
              </w:rPr>
              <w:t>o</w:t>
            </w:r>
          </w:p>
        </w:tc>
        <w:tc>
          <w:tcPr>
            <w:tcW w:w="4820" w:type="dxa"/>
            <w:vAlign w:val="bottom"/>
          </w:tcPr>
          <w:p>
            <w:pPr>
              <w:ind w:left="1800"/>
              <w:spacing w:after="0"/>
              <w:rPr>
                <w:sz w:val="20"/>
                <w:szCs w:val="20"/>
                <w:color w:val="auto"/>
              </w:rPr>
            </w:pPr>
            <w:r>
              <w:rPr>
                <w:rFonts w:ascii="Arial" w:cs="Arial" w:eastAsia="Arial" w:hAnsi="Arial"/>
                <w:sz w:val="16"/>
                <w:szCs w:val="16"/>
                <w:color w:val="auto"/>
              </w:rPr>
              <w:t>Accelerated filer</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740"/>
              <w:spacing w:after="0"/>
              <w:rPr>
                <w:sz w:val="20"/>
                <w:szCs w:val="20"/>
                <w:color w:val="auto"/>
              </w:rPr>
            </w:pPr>
            <w:r>
              <w:rPr>
                <w:rFonts w:ascii="Arial" w:cs="Arial" w:eastAsia="Arial" w:hAnsi="Arial"/>
                <w:sz w:val="18"/>
                <w:szCs w:val="18"/>
                <w:color w:val="auto"/>
              </w:rPr>
              <w:t>x</w:t>
            </w:r>
          </w:p>
        </w:tc>
        <w:tc>
          <w:tcPr>
            <w:tcW w:w="4820" w:type="dxa"/>
            <w:vAlign w:val="bottom"/>
          </w:tcPr>
          <w:p>
            <w:pPr>
              <w:ind w:left="1800"/>
              <w:spacing w:after="0"/>
              <w:rPr>
                <w:sz w:val="20"/>
                <w:szCs w:val="20"/>
                <w:color w:val="auto"/>
              </w:rPr>
            </w:pPr>
            <w:r>
              <w:rPr>
                <w:rFonts w:ascii="Arial" w:cs="Arial" w:eastAsia="Arial" w:hAnsi="Arial"/>
                <w:sz w:val="16"/>
                <w:szCs w:val="16"/>
                <w:color w:val="auto"/>
              </w:rPr>
              <w:t>Smaller reporting company</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820" w:type="dxa"/>
            <w:vAlign w:val="bottom"/>
          </w:tcPr>
          <w:p>
            <w:pPr>
              <w:ind w:left="1800"/>
              <w:spacing w:after="0"/>
              <w:rPr>
                <w:sz w:val="20"/>
                <w:szCs w:val="20"/>
                <w:color w:val="auto"/>
              </w:rPr>
            </w:pPr>
            <w:r>
              <w:rPr>
                <w:rFonts w:ascii="Arial" w:cs="Arial" w:eastAsia="Arial" w:hAnsi="Arial"/>
                <w:sz w:val="16"/>
                <w:szCs w:val="16"/>
                <w:color w:val="auto"/>
              </w:rPr>
              <w:t>Emerging growth company</w:t>
            </w:r>
          </w:p>
        </w:tc>
        <w:tc>
          <w:tcPr>
            <w:tcW w:w="1340" w:type="dxa"/>
            <w:vAlign w:val="bottom"/>
          </w:tcPr>
          <w:p>
            <w:pPr>
              <w:ind w:left="1260"/>
              <w:spacing w:after="0"/>
              <w:rPr>
                <w:sz w:val="20"/>
                <w:szCs w:val="20"/>
                <w:color w:val="auto"/>
              </w:rPr>
            </w:pPr>
            <w:r>
              <w:rPr>
                <w:rFonts w:ascii="Arial" w:cs="Arial" w:eastAsia="Arial" w:hAnsi="Arial"/>
                <w:sz w:val="17"/>
                <w:szCs w:val="17"/>
                <w:color w:val="auto"/>
                <w:w w:val="70"/>
              </w:rPr>
              <w:t>x</w:t>
            </w:r>
          </w:p>
        </w:tc>
      </w:tr>
    </w:tbl>
    <w:p>
      <w:pPr>
        <w:spacing w:after="0" w:line="220" w:lineRule="exact"/>
        <w:rPr>
          <w:sz w:val="24"/>
          <w:szCs w:val="24"/>
          <w:color w:val="auto"/>
        </w:rPr>
      </w:pPr>
    </w:p>
    <w:p>
      <w:pPr>
        <w:ind w:right="58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x</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Arial" w:cs="Arial" w:eastAsia="Arial" w:hAnsi="Arial"/>
          <w:sz w:val="17"/>
          <w:szCs w:val="17"/>
          <w:color w:val="auto"/>
        </w:rPr>
        <w:t>o</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Arial" w:cs="Arial" w:eastAsia="Arial" w:hAnsi="Arial"/>
          <w:sz w:val="17"/>
          <w:szCs w:val="17"/>
          <w:color w:val="auto"/>
        </w:rPr>
        <w:t>x</w:t>
      </w:r>
    </w:p>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As of August 8, 2023, the registrant had 118,507,081 shares of Class A common stock outstanding and 58,586,695 shares of Class B-1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4"/>
          </w:tcPr>
          <w:p>
            <w:pPr>
              <w:ind w:left="20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CCEEFF"/>
            </w:tcBorders>
            <w:gridSpan w:val="8"/>
            <w:shd w:val="clear" w:color="auto" w:fill="CCEEFF"/>
          </w:tcPr>
          <w:p>
            <w:pPr>
              <w:spacing w:after="0" w:line="189" w:lineRule="exact"/>
              <w:rPr>
                <w:sz w:val="20"/>
                <w:szCs w:val="20"/>
                <w:color w:val="auto"/>
              </w:rPr>
            </w:pPr>
            <w:r>
              <w:rPr>
                <w:rFonts w:ascii="Arial" w:cs="Arial" w:eastAsia="Arial" w:hAnsi="Arial"/>
                <w:sz w:val="18"/>
                <w:szCs w:val="18"/>
                <w:b w:val="1"/>
                <w:bCs w:val="1"/>
                <w:color w:val="0000EE"/>
                <w:w w:val="94"/>
              </w:rPr>
              <w:t>Part I - Financial Information</w:t>
            </w:r>
          </w:p>
        </w:tc>
        <w:tc>
          <w:tcPr>
            <w:tcW w:w="7980" w:type="dxa"/>
            <w:vAlign w:val="bottom"/>
            <w:tcBorders>
              <w:top w:val="single" w:sz="8" w:color="CCEEFF"/>
            </w:tcBorders>
            <w:gridSpan w:val="14"/>
            <w:shd w:val="clear" w:color="auto" w:fill="CCEEFF"/>
          </w:tcPr>
          <w:p>
            <w:pPr>
              <w:spacing w:after="0"/>
              <w:rPr>
                <w:sz w:val="16"/>
                <w:szCs w:val="16"/>
                <w:color w:val="auto"/>
              </w:rPr>
            </w:pPr>
          </w:p>
        </w:tc>
        <w:tc>
          <w:tcPr>
            <w:tcW w:w="780" w:type="dxa"/>
            <w:vAlign w:val="bottom"/>
            <w:tcBorders>
              <w:top w:val="single" w:sz="8" w:color="auto"/>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1.</w:t>
            </w:r>
          </w:p>
        </w:tc>
        <w:tc>
          <w:tcPr>
            <w:tcW w:w="9540" w:type="dxa"/>
            <w:vAlign w:val="bottom"/>
            <w:gridSpan w:val="19"/>
          </w:tcPr>
          <w:p>
            <w:pPr>
              <w:ind w:left="280"/>
              <w:spacing w:after="0" w:line="189" w:lineRule="exact"/>
              <w:rPr>
                <w:sz w:val="20"/>
                <w:szCs w:val="20"/>
                <w:color w:val="auto"/>
              </w:rPr>
            </w:pPr>
            <w:r>
              <w:rPr>
                <w:rFonts w:ascii="Arial" w:cs="Arial" w:eastAsia="Arial" w:hAnsi="Arial"/>
                <w:sz w:val="18"/>
                <w:szCs w:val="18"/>
                <w:color w:val="0000EE"/>
              </w:rPr>
              <w:t>Financial Statements (Unaudited)</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4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87"/>
              </w:rPr>
              <w:t>Condensed Consolidated Balance Sheets</w:t>
            </w:r>
          </w:p>
        </w:tc>
        <w:tc>
          <w:tcPr>
            <w:tcW w:w="6320" w:type="dxa"/>
            <w:vAlign w:val="bottom"/>
            <w:gridSpan w:val="8"/>
            <w:shd w:val="clear" w:color="auto" w:fill="CCEEFF"/>
          </w:tcPr>
          <w:p>
            <w:pPr>
              <w:spacing w:after="0"/>
              <w:rPr>
                <w:sz w:val="16"/>
                <w:szCs w:val="16"/>
                <w:color w:val="auto"/>
              </w:rPr>
            </w:pPr>
          </w:p>
        </w:tc>
        <w:tc>
          <w:tcPr>
            <w:tcW w:w="78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5</w:t>
            </w:r>
          </w:p>
        </w:tc>
        <w:tc>
          <w:tcPr>
            <w:tcW w:w="140" w:type="dxa"/>
            <w:vAlign w:val="bottom"/>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60" w:type="dxa"/>
            <w:vAlign w:val="bottom"/>
            <w:gridSpan w:val="18"/>
          </w:tcPr>
          <w:p>
            <w:pPr>
              <w:spacing w:after="0" w:line="189" w:lineRule="exact"/>
              <w:rPr>
                <w:sz w:val="20"/>
                <w:szCs w:val="20"/>
                <w:color w:val="auto"/>
              </w:rPr>
            </w:pPr>
            <w:r>
              <w:rPr>
                <w:rFonts w:ascii="Arial" w:cs="Arial" w:eastAsia="Arial" w:hAnsi="Arial"/>
                <w:sz w:val="18"/>
                <w:szCs w:val="18"/>
                <w:color w:val="0000FF"/>
              </w:rPr>
              <w:t>Condensed Consolidated Statements of Operations and Comprehensive Loss</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6</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94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EE"/>
                <w:w w:val="90"/>
              </w:rPr>
              <w:t>Condensed Consolidated Statements of Changes in Stockholders’ Equity, Members’ Equity (Deficit), and Mezzanine Equity</w:t>
            </w:r>
          </w:p>
        </w:tc>
        <w:tc>
          <w:tcPr>
            <w:tcW w:w="32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7</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94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320" w:type="dxa"/>
            <w:vAlign w:val="bottom"/>
          </w:tcPr>
          <w:p>
            <w:pPr>
              <w:spacing w:after="0"/>
              <w:rPr>
                <w:sz w:val="16"/>
                <w:szCs w:val="16"/>
                <w:color w:val="auto"/>
              </w:rPr>
            </w:pP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10</w:t>
            </w:r>
          </w:p>
        </w:tc>
        <w:tc>
          <w:tcPr>
            <w:tcW w:w="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88"/>
              </w:rPr>
              <w:t>Notes to Condensed Consolidated Financial Statements</w:t>
            </w:r>
          </w:p>
        </w:tc>
        <w:tc>
          <w:tcPr>
            <w:tcW w:w="5260" w:type="dxa"/>
            <w:vAlign w:val="bottom"/>
            <w:tcBorders>
              <w:bottom w:val="single" w:sz="8" w:color="CCEEFF"/>
            </w:tcBorders>
            <w:gridSpan w:val="6"/>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EE"/>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12</w:t>
            </w:r>
          </w:p>
        </w:tc>
        <w:tc>
          <w:tcPr>
            <w:tcW w:w="1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2.</w:t>
            </w:r>
          </w:p>
        </w:tc>
        <w:tc>
          <w:tcPr>
            <w:tcW w:w="9540" w:type="dxa"/>
            <w:vAlign w:val="bottom"/>
            <w:gridSpan w:val="19"/>
          </w:tcPr>
          <w:p>
            <w:pPr>
              <w:ind w:left="280"/>
              <w:spacing w:after="0" w:line="189"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32</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3.</w:t>
            </w:r>
          </w:p>
        </w:tc>
        <w:tc>
          <w:tcPr>
            <w:tcW w:w="2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49</w:t>
            </w:r>
          </w:p>
        </w:tc>
        <w:tc>
          <w:tcPr>
            <w:tcW w:w="140" w:type="dxa"/>
            <w:vAlign w:val="bottom"/>
          </w:tcPr>
          <w:p>
            <w:pPr>
              <w:spacing w:after="0"/>
              <w:rPr>
                <w:sz w:val="19"/>
                <w:szCs w:val="19"/>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EE"/>
            </w:tcBorders>
          </w:tcPr>
          <w:p>
            <w:pPr>
              <w:spacing w:after="0" w:line="189" w:lineRule="exact"/>
              <w:rPr>
                <w:sz w:val="20"/>
                <w:szCs w:val="20"/>
                <w:color w:val="auto"/>
              </w:rPr>
            </w:pPr>
            <w:r>
              <w:rPr>
                <w:rFonts w:ascii="Arial" w:cs="Arial" w:eastAsia="Arial" w:hAnsi="Arial"/>
                <w:sz w:val="18"/>
                <w:szCs w:val="18"/>
                <w:color w:val="0000EE"/>
                <w:w w:val="90"/>
              </w:rPr>
              <w:t>Item 4.</w:t>
            </w:r>
          </w:p>
        </w:tc>
        <w:tc>
          <w:tcPr>
            <w:tcW w:w="240" w:type="dxa"/>
            <w:vAlign w:val="bottom"/>
            <w:tcBorders>
              <w:top w:val="single" w:sz="8" w:color="CCEEFF"/>
            </w:tcBorders>
            <w:gridSpan w:val="2"/>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340" w:type="dxa"/>
            <w:vAlign w:val="bottom"/>
            <w:tcBorders>
              <w:top w:val="single" w:sz="8" w:color="0000EE"/>
            </w:tcBorders>
            <w:gridSpan w:val="13"/>
          </w:tcPr>
          <w:p>
            <w:pPr>
              <w:spacing w:after="0" w:line="189" w:lineRule="exact"/>
              <w:rPr>
                <w:sz w:val="20"/>
                <w:szCs w:val="20"/>
                <w:color w:val="auto"/>
              </w:rPr>
            </w:pPr>
            <w:r>
              <w:rPr>
                <w:rFonts w:ascii="Arial" w:cs="Arial" w:eastAsia="Arial" w:hAnsi="Arial"/>
                <w:sz w:val="18"/>
                <w:szCs w:val="18"/>
                <w:color w:val="0000EE"/>
              </w:rPr>
              <w:t>Controls and Procedures</w:t>
            </w:r>
          </w:p>
        </w:tc>
        <w:tc>
          <w:tcPr>
            <w:tcW w:w="4920" w:type="dxa"/>
            <w:vAlign w:val="bottom"/>
            <w:tcBorders>
              <w:top w:val="single" w:sz="8" w:color="CCEEFF"/>
            </w:tcBorders>
            <w:gridSpan w:val="5"/>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gridSpan w:val="2"/>
          </w:tcPr>
          <w:p>
            <w:pPr>
              <w:jc w:val="right"/>
              <w:ind w:right="20"/>
              <w:spacing w:after="0" w:line="189" w:lineRule="exact"/>
              <w:rPr>
                <w:sz w:val="20"/>
                <w:szCs w:val="20"/>
                <w:color w:val="auto"/>
              </w:rPr>
            </w:pPr>
            <w:r>
              <w:rPr>
                <w:rFonts w:ascii="Arial" w:cs="Arial" w:eastAsia="Arial" w:hAnsi="Arial"/>
                <w:sz w:val="18"/>
                <w:szCs w:val="18"/>
                <w:color w:val="0000EE"/>
                <w:w w:val="79"/>
              </w:rPr>
              <w:t>49</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0300" w:type="dxa"/>
            <w:vAlign w:val="bottom"/>
            <w:gridSpan w:val="22"/>
          </w:tcPr>
          <w:p>
            <w:pPr>
              <w:spacing w:after="0" w:line="189" w:lineRule="exact"/>
              <w:rPr>
                <w:sz w:val="20"/>
                <w:szCs w:val="20"/>
                <w:color w:val="auto"/>
              </w:rPr>
            </w:pPr>
            <w:r>
              <w:rPr>
                <w:rFonts w:ascii="Arial" w:cs="Arial" w:eastAsia="Arial" w:hAnsi="Arial"/>
                <w:sz w:val="18"/>
                <w:szCs w:val="18"/>
                <w:b w:val="1"/>
                <w:bCs w:val="1"/>
                <w:color w:val="0000EE"/>
              </w:rPr>
              <w:t>Part II - Other Information</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50</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8"/>
                <w:szCs w:val="18"/>
                <w:color w:val="0000EE"/>
                <w:w w:val="90"/>
              </w:rPr>
              <w:t>Item 1.</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0000EE"/>
            </w:tcBorders>
            <w:gridSpan w:val="6"/>
            <w:shd w:val="clear" w:color="auto" w:fill="CCEEFF"/>
          </w:tcPr>
          <w:p>
            <w:pPr>
              <w:spacing w:after="0" w:line="189" w:lineRule="exact"/>
              <w:rPr>
                <w:sz w:val="20"/>
                <w:szCs w:val="20"/>
                <w:color w:val="auto"/>
              </w:rPr>
            </w:pPr>
            <w:r>
              <w:rPr>
                <w:rFonts w:ascii="Arial" w:cs="Arial" w:eastAsia="Arial" w:hAnsi="Arial"/>
                <w:sz w:val="18"/>
                <w:szCs w:val="18"/>
                <w:color w:val="0000EE"/>
                <w:w w:val="88"/>
              </w:rPr>
              <w:t>Legal Proceedings</w:t>
            </w:r>
          </w:p>
        </w:tc>
        <w:tc>
          <w:tcPr>
            <w:tcW w:w="7920" w:type="dxa"/>
            <w:vAlign w:val="bottom"/>
            <w:tcBorders>
              <w:bottom w:val="single" w:sz="8" w:color="CCEEFF"/>
            </w:tcBorders>
            <w:gridSpan w:val="12"/>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EE"/>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50</w:t>
            </w:r>
          </w:p>
        </w:tc>
        <w:tc>
          <w:tcPr>
            <w:tcW w:w="1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1A.</w:t>
            </w:r>
          </w:p>
        </w:tc>
        <w:tc>
          <w:tcPr>
            <w:tcW w:w="9540" w:type="dxa"/>
            <w:vAlign w:val="bottom"/>
            <w:gridSpan w:val="19"/>
          </w:tcPr>
          <w:p>
            <w:pPr>
              <w:ind w:left="280"/>
              <w:spacing w:after="0" w:line="189" w:lineRule="exact"/>
              <w:rPr>
                <w:sz w:val="20"/>
                <w:szCs w:val="20"/>
                <w:color w:val="auto"/>
              </w:rPr>
            </w:pPr>
            <w:r>
              <w:rPr>
                <w:rFonts w:ascii="Arial" w:cs="Arial" w:eastAsia="Arial" w:hAnsi="Arial"/>
                <w:sz w:val="18"/>
                <w:szCs w:val="18"/>
                <w:color w:val="0000EE"/>
              </w:rPr>
              <w:t>Risk Factors</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50</w:t>
            </w:r>
          </w:p>
        </w:tc>
        <w:tc>
          <w:tcPr>
            <w:tcW w:w="1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8"/>
                <w:szCs w:val="18"/>
                <w:color w:val="0000EE"/>
                <w:w w:val="90"/>
              </w:rPr>
              <w:t>Item 2.</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160" w:type="dxa"/>
            <w:vAlign w:val="bottom"/>
            <w:tcBorders>
              <w:bottom w:val="single" w:sz="8" w:color="0000EE"/>
            </w:tcBorders>
            <w:gridSpan w:val="16"/>
            <w:shd w:val="clear" w:color="auto" w:fill="CCEEFF"/>
          </w:tcPr>
          <w:p>
            <w:pPr>
              <w:spacing w:after="0" w:line="189" w:lineRule="exact"/>
              <w:rPr>
                <w:sz w:val="20"/>
                <w:szCs w:val="20"/>
                <w:color w:val="auto"/>
              </w:rPr>
            </w:pPr>
            <w:r>
              <w:rPr>
                <w:rFonts w:ascii="Arial" w:cs="Arial" w:eastAsia="Arial" w:hAnsi="Arial"/>
                <w:sz w:val="18"/>
                <w:szCs w:val="18"/>
                <w:color w:val="0000EE"/>
                <w:w w:val="89"/>
              </w:rPr>
              <w:t>Unregistered Sales of Equity Securities, Use of Proceeds, and Issuer Purchases of Equity Securities</w:t>
            </w:r>
          </w:p>
        </w:tc>
        <w:tc>
          <w:tcPr>
            <w:tcW w:w="2100" w:type="dxa"/>
            <w:vAlign w:val="bottom"/>
            <w:tcBorders>
              <w:bottom w:val="single" w:sz="8" w:color="CCEEFF"/>
            </w:tcBorders>
            <w:gridSpan w:val="2"/>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EE"/>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51</w:t>
            </w:r>
          </w:p>
        </w:tc>
        <w:tc>
          <w:tcPr>
            <w:tcW w:w="1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3.</w:t>
            </w:r>
          </w:p>
        </w:tc>
        <w:tc>
          <w:tcPr>
            <w:tcW w:w="9540" w:type="dxa"/>
            <w:vAlign w:val="bottom"/>
            <w:gridSpan w:val="19"/>
          </w:tcPr>
          <w:p>
            <w:pPr>
              <w:ind w:left="280"/>
              <w:spacing w:after="0" w:line="189" w:lineRule="exact"/>
              <w:rPr>
                <w:sz w:val="20"/>
                <w:szCs w:val="20"/>
                <w:color w:val="auto"/>
              </w:rPr>
            </w:pPr>
            <w:r>
              <w:rPr>
                <w:rFonts w:ascii="Arial" w:cs="Arial" w:eastAsia="Arial" w:hAnsi="Arial"/>
                <w:sz w:val="18"/>
                <w:szCs w:val="18"/>
                <w:color w:val="0000EE"/>
              </w:rPr>
              <w:t>Defaults Upon Senior Securities</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52</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8"/>
                <w:szCs w:val="18"/>
                <w:color w:val="0000EE"/>
                <w:w w:val="90"/>
              </w:rPr>
              <w:t>Item 4.</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0000EE"/>
            </w:tcBorders>
            <w:gridSpan w:val="7"/>
            <w:shd w:val="clear" w:color="auto" w:fill="CCEEFF"/>
          </w:tcPr>
          <w:p>
            <w:pPr>
              <w:spacing w:after="0" w:line="189" w:lineRule="exact"/>
              <w:rPr>
                <w:sz w:val="20"/>
                <w:szCs w:val="20"/>
                <w:color w:val="auto"/>
              </w:rPr>
            </w:pPr>
            <w:r>
              <w:rPr>
                <w:rFonts w:ascii="Arial" w:cs="Arial" w:eastAsia="Arial" w:hAnsi="Arial"/>
                <w:sz w:val="18"/>
                <w:szCs w:val="18"/>
                <w:color w:val="0000EE"/>
                <w:w w:val="91"/>
              </w:rPr>
              <w:t>Mine Safety Disclosures</w:t>
            </w:r>
          </w:p>
        </w:tc>
        <w:tc>
          <w:tcPr>
            <w:tcW w:w="7480" w:type="dxa"/>
            <w:vAlign w:val="bottom"/>
            <w:tcBorders>
              <w:bottom w:val="single" w:sz="8" w:color="CCEEFF"/>
            </w:tcBorders>
            <w:gridSpan w:val="11"/>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right w:val="single" w:sz="8" w:color="CCEEFF"/>
            </w:tcBorders>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w w:val="79"/>
              </w:rPr>
              <w:t>52</w:t>
            </w:r>
          </w:p>
        </w:tc>
        <w:tc>
          <w:tcPr>
            <w:tcW w:w="14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rPr>
              <w:t>Item 5.</w:t>
            </w:r>
          </w:p>
        </w:tc>
        <w:tc>
          <w:tcPr>
            <w:tcW w:w="9540" w:type="dxa"/>
            <w:vAlign w:val="bottom"/>
            <w:gridSpan w:val="19"/>
          </w:tcPr>
          <w:p>
            <w:pPr>
              <w:ind w:left="280"/>
              <w:spacing w:after="0" w:line="189" w:lineRule="exact"/>
              <w:rPr>
                <w:sz w:val="20"/>
                <w:szCs w:val="20"/>
                <w:color w:val="auto"/>
              </w:rPr>
            </w:pPr>
            <w:r>
              <w:rPr>
                <w:rFonts w:ascii="Arial" w:cs="Arial" w:eastAsia="Arial" w:hAnsi="Arial"/>
                <w:sz w:val="18"/>
                <w:szCs w:val="18"/>
                <w:color w:val="0000EE"/>
              </w:rPr>
              <w:t>Other Information</w:t>
            </w: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52</w:t>
            </w:r>
          </w:p>
        </w:tc>
        <w:tc>
          <w:tcPr>
            <w:tcW w:w="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EE"/>
                <w:w w:val="90"/>
              </w:rPr>
              <w:t>Item 6.</w:t>
            </w:r>
          </w:p>
        </w:tc>
        <w:tc>
          <w:tcPr>
            <w:tcW w:w="24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EE"/>
              </w:rPr>
              <w:t>Exhibits</w:t>
            </w:r>
          </w:p>
        </w:tc>
        <w:tc>
          <w:tcPr>
            <w:tcW w:w="78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EE"/>
              </w:rPr>
              <w:t>53</w:t>
            </w:r>
          </w:p>
        </w:tc>
        <w:tc>
          <w:tcPr>
            <w:tcW w:w="1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Arial" w:cs="Arial" w:eastAsia="Arial" w:hAnsi="Arial"/>
                <w:sz w:val="18"/>
                <w:szCs w:val="18"/>
                <w:color w:val="0000EE"/>
                <w:w w:val="85"/>
              </w:rPr>
              <w:t>Signatures</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EE"/>
              </w:rPr>
              <w:t>56</w:t>
            </w:r>
          </w:p>
        </w:tc>
        <w:tc>
          <w:tcPr>
            <w:tcW w:w="140" w:type="dxa"/>
            <w:vAlign w:val="bottom"/>
          </w:tcPr>
          <w:p>
            <w:pPr>
              <w:spacing w:after="0"/>
              <w:rPr>
                <w:sz w:val="16"/>
                <w:szCs w:val="16"/>
                <w:color w:val="auto"/>
              </w:rPr>
            </w:pPr>
          </w:p>
        </w:tc>
      </w:tr>
      <w:tr>
        <w:trPr>
          <w:trHeight w:val="92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0" w:type="dxa"/>
            <w:vAlign w:val="bottom"/>
            <w:gridSpan w:val="15"/>
          </w:tcPr>
          <w:p>
            <w:pPr>
              <w:jc w:val="right"/>
              <w:ind w:right="92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Certain statements in this Quarterly Report on Form 10-Q for the quarterly period ended June 30, 2023 (this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business strategy and plans, and objectives of management for future operations, including, among others, statements regarding expected growth, introduction of new products and services, future capital expenditures and debt service obligations,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indicated in any forward-looking statements, include, but are not limited to, the following:</w:t>
      </w:r>
    </w:p>
    <w:p>
      <w:pPr>
        <w:spacing w:after="0" w:line="8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performance, including our ability to achieve or maintain profitability;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execute our business plan and growth strategy;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optimize existing and future sales channels and market segmentation;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future markets and offerings;</w:t>
      </w:r>
    </w:p>
    <w:p>
      <w:pPr>
        <w:spacing w:after="0" w:line="198" w:lineRule="exact"/>
        <w:rPr>
          <w:rFonts w:ascii="Arial" w:cs="Arial" w:eastAsia="Arial" w:hAnsi="Arial"/>
          <w:sz w:val="18"/>
          <w:szCs w:val="18"/>
          <w:color w:val="auto"/>
        </w:rPr>
      </w:pPr>
    </w:p>
    <w:p>
      <w:pPr>
        <w:ind w:left="660" w:right="2760" w:hanging="328"/>
        <w:spacing w:after="0" w:line="232"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revenue may be affected by any disruptions in asset deployment caused by supply, construction or utility delays;</w:t>
      </w:r>
    </w:p>
    <w:p>
      <w:pPr>
        <w:spacing w:after="0" w:line="135" w:lineRule="exact"/>
        <w:rPr>
          <w:rFonts w:ascii="Arial" w:cs="Arial" w:eastAsia="Arial" w:hAnsi="Arial"/>
          <w:sz w:val="22"/>
          <w:szCs w:val="22"/>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supply chains and distribution channels, including our ability to secure inventory from suppliers to meet customer demand and source materials in line with our expectations;</w:t>
      </w:r>
    </w:p>
    <w:p>
      <w:pPr>
        <w:spacing w:after="0" w:line="89" w:lineRule="exact"/>
        <w:rPr>
          <w:rFonts w:ascii="Arial" w:cs="Arial" w:eastAsia="Arial" w:hAnsi="Arial"/>
          <w:sz w:val="18"/>
          <w:szCs w:val="18"/>
          <w:color w:val="auto"/>
        </w:rPr>
      </w:pPr>
    </w:p>
    <w:p>
      <w:pPr>
        <w:ind w:firstLine="332"/>
        <w:spacing w:after="0" w:line="308" w:lineRule="auto"/>
        <w:tabs>
          <w:tab w:leader="none" w:pos="648"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 associated with fluctuations in the market prices of commodity raw materials, including steel, aluminum, lithium carbonate, and cobalt, that are used in components from suppliers, such as lithium-ion batteries, that are incorporated into our energy storage products and solutions;</w:t>
      </w:r>
    </w:p>
    <w:p>
      <w:pPr>
        <w:spacing w:after="0" w:line="7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associated with estimation uncertainty related to our product warranties;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and retain talent;</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economic, social, and political instability in the markets in which we operate and other regions of the world;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6"/>
          <w:szCs w:val="16"/>
          <w:color w:val="auto"/>
        </w:rPr>
        <w:t>instability in the financial services sector and the impact on the viability of financial institutions where we maintain our cash and cash equivalents;</w:t>
      </w:r>
    </w:p>
    <w:p>
      <w:pPr>
        <w:spacing w:after="0" w:line="146" w:lineRule="exact"/>
        <w:rPr>
          <w:rFonts w:ascii="Arial" w:cs="Arial" w:eastAsia="Arial" w:hAnsi="Arial"/>
          <w:sz w:val="19"/>
          <w:szCs w:val="19"/>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levels of inflation, interest rates, and foreign currency exchange rates and related actions taken by government authorities in connection therewith;</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144" w:lineRule="exact"/>
        <w:rPr>
          <w:rFonts w:ascii="Arial" w:cs="Arial" w:eastAsia="Arial" w:hAnsi="Arial"/>
          <w:sz w:val="18"/>
          <w:szCs w:val="18"/>
          <w:color w:val="auto"/>
        </w:rPr>
      </w:pPr>
    </w:p>
    <w:p>
      <w:pPr>
        <w:ind w:firstLine="332"/>
        <w:spacing w:after="0" w:line="27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future impact of a global pandemic on our ground operations at project sites, our manufacturing facilities, our customers, our workforce, and our suppliers and our vendors;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and solutions, including events and incidents outside of our control;</w:t>
      </w:r>
    </w:p>
    <w:p>
      <w:pPr>
        <w:spacing w:after="0" w:line="89" w:lineRule="exact"/>
        <w:rPr>
          <w:rFonts w:ascii="Arial" w:cs="Arial" w:eastAsia="Arial" w:hAnsi="Arial"/>
          <w:sz w:val="18"/>
          <w:szCs w:val="18"/>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prevent defects, errors, or bugs in hardware or software of our products and technology as well as any defects that may give rise to claims of product liability or other potential legal claims;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information technology related risks;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compliance with any existing and future applicable laws, regulations, sanctions, or tariffs on our business and operations;</w:t>
      </w:r>
    </w:p>
    <w:p>
      <w:pPr>
        <w:spacing w:after="0" w:line="155" w:lineRule="exact"/>
        <w:rPr>
          <w:rFonts w:ascii="Arial" w:cs="Arial" w:eastAsia="Arial" w:hAnsi="Arial"/>
          <w:sz w:val="17"/>
          <w:szCs w:val="17"/>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implementation, reduction, elimination or expiration of government and/or economic incentives related to energy storage products and solutions and/or services and their related impact;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assessment and expectations regarding our global growth;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anticipated synergies from strategic initiatives and/or acquisitions by the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listing of our securities on the Nasdaq Global Select Market;</w:t>
      </w:r>
    </w:p>
    <w:p>
      <w:pPr>
        <w:spacing w:after="0" w:line="144" w:lineRule="exact"/>
        <w:rPr>
          <w:rFonts w:ascii="Arial" w:cs="Arial" w:eastAsia="Arial" w:hAnsi="Arial"/>
          <w:sz w:val="18"/>
          <w:szCs w:val="18"/>
          <w:color w:val="auto"/>
        </w:rPr>
      </w:pPr>
    </w:p>
    <w:p>
      <w:pPr>
        <w:ind w:firstLine="332"/>
        <w:spacing w:after="0" w:line="277"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influence that Siemens AG and AES Grid Stability, LLC have over us, including control over decisions that require the approval of stockholders; and</w:t>
      </w:r>
    </w:p>
    <w:p>
      <w:pPr>
        <w:spacing w:after="0" w:line="102" w:lineRule="exact"/>
        <w:rPr>
          <w:rFonts w:ascii="Arial" w:cs="Arial" w:eastAsia="Arial" w:hAnsi="Arial"/>
          <w:sz w:val="18"/>
          <w:szCs w:val="18"/>
          <w:color w:val="auto"/>
        </w:rPr>
      </w:pPr>
    </w:p>
    <w:p>
      <w:pPr>
        <w:ind w:right="80" w:firstLine="332"/>
        <w:spacing w:after="0" w:line="259"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described in Part I, Item 1A “Risk Factors” in our Annual Report on Form 10-K for the fiscal year ended September 30, 2022, filed with the Securities and Exchange Commission (“SEC”) on December 14, 2022 (the “2022 Annual Report”), as updated by Part II, Item 1A. “Risk Factors” and Part I, Item 2. “Management’s Discussion and Analysis of Financial Condition and Results of Operations” in this Report and in our subsequent filings with the Securities and Exchange Commission (the “SEC”).</w:t>
      </w:r>
    </w:p>
    <w:p>
      <w:pPr>
        <w:spacing w:after="0" w:line="11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FLUENCE ENERGY,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p>
      <w:pPr>
        <w:jc w:val="right"/>
        <w:ind w:right="2039"/>
        <w:spacing w:after="0"/>
        <w:rPr>
          <w:sz w:val="20"/>
          <w:szCs w:val="20"/>
          <w:color w:val="auto"/>
        </w:rPr>
      </w:pPr>
      <w:r>
        <w:rPr>
          <w:rFonts w:ascii="Arial" w:cs="Arial" w:eastAsia="Arial" w:hAnsi="Arial"/>
          <w:sz w:val="18"/>
          <w:szCs w:val="18"/>
          <w:b w:val="1"/>
          <w:bCs w:val="1"/>
          <w:color w:val="auto"/>
        </w:rPr>
        <w:t>(U.S. Dollars in Thousands, except share and per share amounts)</w:t>
      </w:r>
    </w:p>
    <w:p>
      <w:pPr>
        <w:sectPr>
          <w:pgSz w:w="11900" w:h="16838" w:orient="portrait"/>
          <w:cols w:equalWidth="0" w:num="1">
            <w:col w:w="10139"/>
          </w:cols>
          <w:pgMar w:left="32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231"/>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jc w:val="center"/>
              <w:ind w:right="211"/>
              <w:spacing w:after="0" w:line="168" w:lineRule="exact"/>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250"/>
              <w:spacing w:after="0" w:line="168" w:lineRule="exact"/>
              <w:rPr>
                <w:sz w:val="20"/>
                <w:szCs w:val="20"/>
                <w:color w:val="auto"/>
              </w:rPr>
            </w:pPr>
            <w:r>
              <w:rPr>
                <w:rFonts w:ascii="Arial" w:cs="Arial" w:eastAsia="Arial" w:hAnsi="Arial"/>
                <w:sz w:val="16"/>
                <w:szCs w:val="16"/>
                <w:b w:val="1"/>
                <w:bCs w:val="1"/>
                <w:color w:val="auto"/>
                <w:w w:val="98"/>
              </w:rPr>
              <w:t>September 30,</w:t>
            </w:r>
          </w:p>
        </w:tc>
        <w:tc>
          <w:tcPr>
            <w:tcW w:w="0" w:type="dxa"/>
            <w:vAlign w:val="bottom"/>
          </w:tcPr>
          <w:p>
            <w:pPr>
              <w:spacing w:after="0"/>
              <w:rPr>
                <w:sz w:val="1"/>
                <w:szCs w:val="1"/>
                <w:color w:val="auto"/>
              </w:rPr>
            </w:pPr>
          </w:p>
        </w:tc>
      </w:tr>
      <w:tr>
        <w:trPr>
          <w:trHeight w:val="213"/>
        </w:trPr>
        <w:tc>
          <w:tcPr>
            <w:tcW w:w="7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108,387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62,425</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86,770</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Unbilled receivables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Receivables from related parties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112,027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to suppliers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513,551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652,735</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1,389,469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1,601,533</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12,781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13,755</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use asset - operating leases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55,438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Deferred income tax asset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Advances to suppliers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Debt issuance cost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 receivable - pledged as collateral</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12,490</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144,121</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1,564,738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1,745,654</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304,898</w:t>
            </w:r>
          </w:p>
        </w:tc>
        <w:tc>
          <w:tcPr>
            <w:tcW w:w="0" w:type="dxa"/>
            <w:vAlign w:val="bottom"/>
          </w:tcPr>
          <w:p>
            <w:pPr>
              <w:spacing w:after="0"/>
              <w:rPr>
                <w:sz w:val="1"/>
                <w:szCs w:val="1"/>
                <w:color w:val="auto"/>
              </w:rPr>
            </w:pPr>
          </w:p>
        </w:tc>
      </w:tr>
      <w:tr>
        <w:trPr>
          <w:trHeight w:val="237"/>
        </w:trPr>
        <w:tc>
          <w:tcPr>
            <w:tcW w:w="76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452,069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273,073</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Personnel related liabilities</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Accruals and provisions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183,814</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Payables and deferred revenue with related parties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306,348</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Taxes payable</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1,109,463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Deferred income tax liability</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Borrowings against note receivable - pledged as collateral</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1,019,289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1,116,446</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40"/>
              <w:spacing w:after="0" w:line="176" w:lineRule="exact"/>
              <w:rPr>
                <w:sz w:val="20"/>
                <w:szCs w:val="20"/>
                <w:color w:val="auto"/>
              </w:rPr>
            </w:pPr>
            <w:r>
              <w:rPr>
                <w:rFonts w:ascii="Arial" w:cs="Arial" w:eastAsia="Arial" w:hAnsi="Arial"/>
                <w:sz w:val="18"/>
                <w:szCs w:val="18"/>
                <w:color w:val="auto"/>
                <w:w w:val="88"/>
              </w:rPr>
              <w:t xml:space="preserve">Preferred stock, </w:t>
            </w:r>
            <w:r>
              <w:rPr>
                <w:rFonts w:ascii="Arial" w:cs="Arial" w:eastAsia="Arial" w:hAnsi="Arial"/>
                <w:sz w:val="18"/>
                <w:szCs w:val="18"/>
                <w:color w:val="0D0D0D"/>
                <w:w w:val="88"/>
              </w:rPr>
              <w:t>$0.00001 per share, 10,000,000 shares authorized; no shares issued and outstanding as</w:t>
            </w:r>
          </w:p>
        </w:tc>
        <w:tc>
          <w:tcPr>
            <w:tcW w:w="3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0D0D0D"/>
              </w:rPr>
              <w:t>of June 30, 2023 and September 30, 2022</w:t>
            </w:r>
          </w:p>
        </w:tc>
        <w:tc>
          <w:tcPr>
            <w:tcW w:w="3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1"/>
              </w:rPr>
              <w:t>Class A common stock, $0.00001 par value per share, 1,200,000,000 shares authorized; 118,929,106</w:t>
            </w: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89"/>
              </w:rPr>
              <w:t>shares issued and 118,283,318 shares outstanding as of June 30, 2023; 115,424,025 shares issued and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114,873,121 shares outstanding as of September 30, 2022</w:t>
            </w:r>
          </w:p>
        </w:tc>
        <w:tc>
          <w:tcPr>
            <w:tcW w:w="32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80" w:type="dxa"/>
            <w:vAlign w:val="bottom"/>
          </w:tcPr>
          <w:p>
            <w:pPr>
              <w:ind w:left="240"/>
              <w:spacing w:after="0" w:line="189" w:lineRule="exact"/>
              <w:rPr>
                <w:sz w:val="20"/>
                <w:szCs w:val="20"/>
                <w:color w:val="auto"/>
              </w:rPr>
            </w:pPr>
            <w:r>
              <w:rPr>
                <w:rFonts w:ascii="Arial" w:cs="Arial" w:eastAsia="Arial" w:hAnsi="Arial"/>
                <w:sz w:val="18"/>
                <w:szCs w:val="18"/>
                <w:color w:val="auto"/>
                <w:w w:val="92"/>
              </w:rPr>
              <w:t>Class B-1 common stock, $0.00001 par value per share, 200,000,000 shares authorized; 58,586,695</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40"/>
              <w:spacing w:after="0" w:line="176" w:lineRule="exact"/>
              <w:rPr>
                <w:sz w:val="20"/>
                <w:szCs w:val="20"/>
                <w:color w:val="auto"/>
              </w:rPr>
            </w:pPr>
            <w:r>
              <w:rPr>
                <w:rFonts w:ascii="Arial" w:cs="Arial" w:eastAsia="Arial" w:hAnsi="Arial"/>
                <w:sz w:val="18"/>
                <w:szCs w:val="18"/>
                <w:color w:val="auto"/>
                <w:w w:val="99"/>
              </w:rPr>
              <w:t>and 58,586,695 shares issued and outstanding as of June 30, 2023 and September 30, 2022,</w:t>
            </w:r>
          </w:p>
        </w:tc>
        <w:tc>
          <w:tcPr>
            <w:tcW w:w="3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4"/>
              </w:rPr>
              <w:t>Class B-2 common stock, $0.00001 par value per share, 200,000,000 shares authorized; 0 shares</w:t>
            </w: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issued and outstanding as of June 30, 2023 and September 30, 2022</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542,602</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(104,544)</w:t>
            </w:r>
          </w:p>
        </w:tc>
        <w:tc>
          <w:tcPr>
            <w:tcW w:w="0" w:type="dxa"/>
            <w:vAlign w:val="bottom"/>
          </w:tcPr>
          <w:p>
            <w:pPr>
              <w:spacing w:after="0"/>
              <w:rPr>
                <w:sz w:val="1"/>
                <w:szCs w:val="1"/>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Total stockholders’ equity attributable to Fluence Energy,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392,610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435,830</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193,378</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629,208</w:t>
            </w:r>
          </w:p>
        </w:tc>
        <w:tc>
          <w:tcPr>
            <w:tcW w:w="0" w:type="dxa"/>
            <w:vAlign w:val="bottom"/>
          </w:tcPr>
          <w:p>
            <w:pPr>
              <w:spacing w:after="0"/>
              <w:rPr>
                <w:sz w:val="1"/>
                <w:szCs w:val="1"/>
                <w:color w:val="auto"/>
              </w:rPr>
            </w:pPr>
          </w:p>
        </w:tc>
      </w:tr>
      <w:tr>
        <w:trPr>
          <w:trHeight w:val="25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1,564,738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1,745,654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ectPr>
          <w:pgSz w:w="11900" w:h="16838" w:orient="portrait"/>
          <w:cols w:equalWidth="0" w:num="1">
            <w:col w:w="11240"/>
          </w:cols>
          <w:pgMar w:left="320" w:top="166" w:right="339" w:bottom="1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7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5800" w:type="dxa"/>
            <w:vAlign w:val="bottom"/>
            <w:gridSpan w:val="5"/>
          </w:tcPr>
          <w:p>
            <w:pPr>
              <w:jc w:val="center"/>
              <w:ind w:left="2790"/>
              <w:spacing w:after="0"/>
              <w:rPr>
                <w:sz w:val="20"/>
                <w:szCs w:val="20"/>
                <w:color w:val="auto"/>
              </w:rPr>
            </w:pPr>
            <w:r>
              <w:rPr>
                <w:rFonts w:ascii="Arial" w:cs="Arial" w:eastAsia="Arial" w:hAnsi="Arial"/>
                <w:sz w:val="18"/>
                <w:szCs w:val="18"/>
                <w:b w:val="1"/>
                <w:bCs w:val="1"/>
                <w:color w:val="auto"/>
                <w:w w:val="99"/>
              </w:rPr>
              <w:t>FLUENCE ENERGY, INC.</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40" w:type="dxa"/>
            <w:vAlign w:val="bottom"/>
            <w:gridSpan w:val="8"/>
          </w:tcPr>
          <w:p>
            <w:pPr>
              <w:jc w:val="center"/>
              <w:ind w:left="1250"/>
              <w:spacing w:after="0"/>
              <w:rPr>
                <w:sz w:val="20"/>
                <w:szCs w:val="20"/>
                <w:color w:val="auto"/>
              </w:rPr>
            </w:pPr>
            <w:r>
              <w:rPr>
                <w:rFonts w:ascii="Arial" w:cs="Arial" w:eastAsia="Arial" w:hAnsi="Arial"/>
                <w:sz w:val="18"/>
                <w:szCs w:val="18"/>
                <w:b w:val="1"/>
                <w:bCs w:val="1"/>
                <w:color w:val="auto"/>
                <w:w w:val="98"/>
              </w:rPr>
              <w:t>CONDENSED CONSOLIDATED STATEMENTS OF OPERATIONS AND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40" w:type="dxa"/>
            <w:vAlign w:val="bottom"/>
            <w:gridSpan w:val="6"/>
          </w:tcPr>
          <w:p>
            <w:pPr>
              <w:jc w:val="center"/>
              <w:ind w:left="1750"/>
              <w:spacing w:after="0"/>
              <w:rPr>
                <w:sz w:val="20"/>
                <w:szCs w:val="20"/>
                <w:color w:val="auto"/>
              </w:rPr>
            </w:pPr>
            <w:r>
              <w:rPr>
                <w:rFonts w:ascii="Arial" w:cs="Arial" w:eastAsia="Arial" w:hAnsi="Arial"/>
                <w:sz w:val="18"/>
                <w:szCs w:val="18"/>
                <w:b w:val="1"/>
                <w:bCs w:val="1"/>
                <w:color w:val="auto"/>
              </w:rPr>
              <w:t>COMPREHENSIVE LOSS (UNAUDITED)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840" w:type="dxa"/>
            <w:vAlign w:val="bottom"/>
            <w:gridSpan w:val="6"/>
          </w:tcPr>
          <w:p>
            <w:pPr>
              <w:jc w:val="center"/>
              <w:ind w:left="1750"/>
              <w:spacing w:after="0"/>
              <w:rPr>
                <w:sz w:val="20"/>
                <w:szCs w:val="20"/>
                <w:color w:val="auto"/>
              </w:rPr>
            </w:pPr>
            <w:r>
              <w:rPr>
                <w:rFonts w:ascii="Arial" w:cs="Arial" w:eastAsia="Arial" w:hAnsi="Arial"/>
                <w:sz w:val="18"/>
                <w:szCs w:val="18"/>
                <w:b w:val="1"/>
                <w:bCs w:val="1"/>
                <w:color w:val="auto"/>
                <w:w w:val="88"/>
              </w:rPr>
              <w:t>(U.S. Dollars in Thousands, except share and per share amounts)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431,616</w:t>
            </w:r>
          </w:p>
        </w:tc>
        <w:tc>
          <w:tcPr>
            <w:tcW w:w="520" w:type="dxa"/>
            <w:vAlign w:val="bottom"/>
            <w:gridSpan w:val="2"/>
            <w:shd w:val="clear" w:color="auto" w:fill="D2EDFE"/>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115,999</w:t>
            </w:r>
          </w:p>
        </w:tc>
        <w:tc>
          <w:tcPr>
            <w:tcW w:w="500" w:type="dxa"/>
            <w:vAlign w:val="bottom"/>
            <w:gridSpan w:val="2"/>
            <w:shd w:val="clear" w:color="auto" w:fill="D2EDFE"/>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1,042,328</w:t>
            </w:r>
          </w:p>
        </w:tc>
        <w:tc>
          <w:tcPr>
            <w:tcW w:w="520" w:type="dxa"/>
            <w:vAlign w:val="bottom"/>
            <w:gridSpan w:val="2"/>
            <w:shd w:val="clear" w:color="auto" w:fill="D2EDFE"/>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258,850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Revenue from related parties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104,735</w:t>
            </w:r>
          </w:p>
        </w:tc>
        <w:tc>
          <w:tcPr>
            <w:tcW w:w="100" w:type="dxa"/>
            <w:vAlign w:val="bottom"/>
            <w:tcBorders>
              <w:bottom w:val="single" w:sz="8" w:color="D2EDF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123,011</w:t>
            </w:r>
          </w:p>
        </w:tc>
        <w:tc>
          <w:tcPr>
            <w:tcW w:w="10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502,669</w:t>
            </w:r>
          </w:p>
        </w:tc>
        <w:tc>
          <w:tcPr>
            <w:tcW w:w="12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497,771</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536,351</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239,010</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1,544,997</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756,621</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514,531</w:t>
            </w:r>
          </w:p>
        </w:tc>
        <w:tc>
          <w:tcPr>
            <w:tcW w:w="100" w:type="dxa"/>
            <w:vAlign w:val="bottom"/>
            <w:tcBorders>
              <w:bottom w:val="single" w:sz="8" w:color="D2EDFE"/>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244,207</w:t>
            </w:r>
          </w:p>
        </w:tc>
        <w:tc>
          <w:tcPr>
            <w:tcW w:w="10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1,480,324</w:t>
            </w:r>
          </w:p>
        </w:tc>
        <w:tc>
          <w:tcPr>
            <w:tcW w:w="12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829,714</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Gross profit (loss)</w:t>
            </w:r>
          </w:p>
        </w:tc>
        <w:tc>
          <w:tcPr>
            <w:tcW w:w="28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21,820</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64,673</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(73,093)</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gridSpan w:val="2"/>
            <w:shd w:val="clear" w:color="auto" w:fill="D2EDFE"/>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D2EDFE"/>
          </w:tcPr>
          <w:p>
            <w:pPr>
              <w:spacing w:after="0"/>
              <w:rPr>
                <w:sz w:val="21"/>
                <w:szCs w:val="21"/>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9,918</w:t>
            </w:r>
          </w:p>
        </w:tc>
        <w:tc>
          <w:tcPr>
            <w:tcW w:w="100" w:type="dxa"/>
            <w:vAlign w:val="bottom"/>
            <w:shd w:val="clear" w:color="auto" w:fill="D2EDFE"/>
          </w:tcPr>
          <w:p>
            <w:pPr>
              <w:spacing w:after="0"/>
              <w:rPr>
                <w:sz w:val="21"/>
                <w:szCs w:val="21"/>
                <w:color w:val="auto"/>
              </w:rPr>
            </w:pPr>
          </w:p>
        </w:tc>
        <w:tc>
          <w:tcPr>
            <w:tcW w:w="420" w:type="dxa"/>
            <w:vAlign w:val="bottom"/>
            <w:shd w:val="clear" w:color="auto" w:fill="D2EDFE"/>
          </w:tcPr>
          <w:p>
            <w:pPr>
              <w:spacing w:after="0"/>
              <w:rPr>
                <w:sz w:val="21"/>
                <w:szCs w:val="21"/>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18,129</w:t>
            </w:r>
          </w:p>
        </w:tc>
        <w:tc>
          <w:tcPr>
            <w:tcW w:w="100" w:type="dxa"/>
            <w:vAlign w:val="bottom"/>
            <w:shd w:val="clear" w:color="auto" w:fill="D2EDFE"/>
          </w:tcPr>
          <w:p>
            <w:pPr>
              <w:spacing w:after="0"/>
              <w:rPr>
                <w:sz w:val="21"/>
                <w:szCs w:val="21"/>
                <w:color w:val="auto"/>
              </w:rPr>
            </w:pPr>
          </w:p>
        </w:tc>
        <w:tc>
          <w:tcPr>
            <w:tcW w:w="40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51,631</w:t>
            </w:r>
          </w:p>
        </w:tc>
        <w:tc>
          <w:tcPr>
            <w:tcW w:w="120" w:type="dxa"/>
            <w:vAlign w:val="bottom"/>
            <w:shd w:val="clear" w:color="auto" w:fill="D2EDFE"/>
          </w:tcPr>
          <w:p>
            <w:pPr>
              <w:spacing w:after="0"/>
              <w:rPr>
                <w:sz w:val="21"/>
                <w:szCs w:val="21"/>
                <w:color w:val="auto"/>
              </w:rPr>
            </w:pPr>
          </w:p>
        </w:tc>
        <w:tc>
          <w:tcPr>
            <w:tcW w:w="400" w:type="dxa"/>
            <w:vAlign w:val="bottom"/>
            <w:shd w:val="clear" w:color="auto" w:fill="D2EDFE"/>
          </w:tcPr>
          <w:p>
            <w:pPr>
              <w:spacing w:after="0"/>
              <w:rPr>
                <w:sz w:val="21"/>
                <w:szCs w:val="21"/>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42,227</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27,647</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D2EDFE"/>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38,145</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27,334</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101,190</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83,771</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36"/>
        </w:trPr>
        <w:tc>
          <w:tcPr>
            <w:tcW w:w="5120" w:type="dxa"/>
            <w:vAlign w:val="bottom"/>
            <w:gridSpan w:val="2"/>
            <w:shd w:val="clear" w:color="auto" w:fill="D2EDFE"/>
          </w:tcPr>
          <w:p>
            <w:pPr>
              <w:ind w:left="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D2EDFE"/>
          </w:tcPr>
          <w:p>
            <w:pPr>
              <w:spacing w:after="0"/>
              <w:rPr>
                <w:sz w:val="20"/>
                <w:szCs w:val="20"/>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D2EDFE"/>
          </w:tcPr>
          <w:p>
            <w:pPr>
              <w:spacing w:after="0"/>
              <w:rPr>
                <w:sz w:val="20"/>
                <w:szCs w:val="20"/>
                <w:color w:val="auto"/>
              </w:rPr>
            </w:pPr>
          </w:p>
        </w:tc>
        <w:tc>
          <w:tcPr>
            <w:tcW w:w="420" w:type="dxa"/>
            <w:vAlign w:val="bottom"/>
            <w:shd w:val="clear" w:color="auto" w:fill="D2EDFE"/>
          </w:tcPr>
          <w:p>
            <w:pPr>
              <w:spacing w:after="0"/>
              <w:rPr>
                <w:sz w:val="20"/>
                <w:szCs w:val="20"/>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D2EDFE"/>
          </w:tcPr>
          <w:p>
            <w:pPr>
              <w:spacing w:after="0"/>
              <w:rPr>
                <w:sz w:val="20"/>
                <w:szCs w:val="20"/>
                <w:color w:val="auto"/>
              </w:rPr>
            </w:pPr>
          </w:p>
        </w:tc>
        <w:tc>
          <w:tcPr>
            <w:tcW w:w="40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D2EDFE"/>
          </w:tcPr>
          <w:p>
            <w:pPr>
              <w:spacing w:after="0"/>
              <w:rPr>
                <w:sz w:val="20"/>
                <w:szCs w:val="20"/>
                <w:color w:val="auto"/>
              </w:rPr>
            </w:pPr>
          </w:p>
        </w:tc>
        <w:tc>
          <w:tcPr>
            <w:tcW w:w="400" w:type="dxa"/>
            <w:vAlign w:val="bottom"/>
            <w:shd w:val="clear" w:color="auto" w:fill="D2EDFE"/>
          </w:tcPr>
          <w:p>
            <w:pPr>
              <w:spacing w:after="0"/>
              <w:rPr>
                <w:sz w:val="20"/>
                <w:szCs w:val="20"/>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shd w:val="clear" w:color="auto" w:fill="D2EDFE"/>
          </w:tcPr>
          <w:p>
            <w:pPr>
              <w:spacing w:after="0"/>
              <w:rPr>
                <w:sz w:val="20"/>
                <w:szCs w:val="20"/>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(36,363)</w:t>
            </w:r>
          </w:p>
        </w:tc>
        <w:tc>
          <w:tcPr>
            <w:tcW w:w="100" w:type="dxa"/>
            <w:vAlign w:val="bottom"/>
            <w:shd w:val="clear" w:color="auto" w:fill="D2EDFE"/>
          </w:tcPr>
          <w:p>
            <w:pPr>
              <w:spacing w:after="0"/>
              <w:rPr>
                <w:sz w:val="20"/>
                <w:szCs w:val="20"/>
                <w:color w:val="auto"/>
              </w:rPr>
            </w:pPr>
          </w:p>
        </w:tc>
        <w:tc>
          <w:tcPr>
            <w:tcW w:w="420" w:type="dxa"/>
            <w:vAlign w:val="bottom"/>
            <w:tcBorders>
              <w:bottom w:val="single" w:sz="8" w:color="auto"/>
            </w:tcBorders>
            <w:shd w:val="clear" w:color="auto" w:fill="D2EDFE"/>
          </w:tcPr>
          <w:p>
            <w:pPr>
              <w:spacing w:after="0"/>
              <w:rPr>
                <w:sz w:val="20"/>
                <w:szCs w:val="20"/>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(61,808)</w:t>
            </w:r>
          </w:p>
        </w:tc>
        <w:tc>
          <w:tcPr>
            <w:tcW w:w="100" w:type="dxa"/>
            <w:vAlign w:val="bottom"/>
            <w:shd w:val="clear" w:color="auto" w:fill="D2EDFE"/>
          </w:tcPr>
          <w:p>
            <w:pPr>
              <w:spacing w:after="0"/>
              <w:rPr>
                <w:sz w:val="20"/>
                <w:szCs w:val="20"/>
                <w:color w:val="auto"/>
              </w:rPr>
            </w:pPr>
          </w:p>
        </w:tc>
        <w:tc>
          <w:tcPr>
            <w:tcW w:w="400" w:type="dxa"/>
            <w:vAlign w:val="bottom"/>
            <w:tcBorders>
              <w:bottom w:val="single" w:sz="8" w:color="auto"/>
            </w:tcBorders>
            <w:shd w:val="clear" w:color="auto" w:fill="D2EDFE"/>
          </w:tcPr>
          <w:p>
            <w:pPr>
              <w:spacing w:after="0"/>
              <w:rPr>
                <w:sz w:val="20"/>
                <w:szCs w:val="20"/>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(111,694)</w:t>
            </w:r>
          </w:p>
        </w:tc>
        <w:tc>
          <w:tcPr>
            <w:tcW w:w="120" w:type="dxa"/>
            <w:vAlign w:val="bottom"/>
            <w:shd w:val="clear" w:color="auto" w:fill="D2EDFE"/>
          </w:tcPr>
          <w:p>
            <w:pPr>
              <w:spacing w:after="0"/>
              <w:rPr>
                <w:sz w:val="20"/>
                <w:szCs w:val="20"/>
                <w:color w:val="auto"/>
              </w:rPr>
            </w:pPr>
          </w:p>
        </w:tc>
        <w:tc>
          <w:tcPr>
            <w:tcW w:w="400" w:type="dxa"/>
            <w:vAlign w:val="bottom"/>
            <w:tcBorders>
              <w:bottom w:val="single" w:sz="8" w:color="auto"/>
            </w:tcBorders>
            <w:shd w:val="clear" w:color="auto" w:fill="D2EDFE"/>
          </w:tcPr>
          <w:p>
            <w:pPr>
              <w:spacing w:after="0"/>
              <w:rPr>
                <w:sz w:val="20"/>
                <w:szCs w:val="20"/>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(233,485)</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D2EDF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Borders>
              <w:bottom w:val="single" w:sz="8" w:color="D2EDF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(35,045)</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(60,829)</w:t>
            </w: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(109,636)</w:t>
            </w: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(232,992)</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100" w:type="dxa"/>
            <w:vAlign w:val="bottom"/>
            <w:tcBorders>
              <w:bottom w:val="single" w:sz="8" w:color="D2EDFE"/>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(41,482)</w:t>
            </w:r>
          </w:p>
        </w:tc>
        <w:tc>
          <w:tcPr>
            <w:tcW w:w="10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(36,748)</w:t>
            </w:r>
          </w:p>
        </w:tc>
        <w:tc>
          <w:tcPr>
            <w:tcW w:w="120" w:type="dxa"/>
            <w:vAlign w:val="bottom"/>
            <w:tcBorders>
              <w:bottom w:val="single" w:sz="8" w:color="D2EDF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(165,656)</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280" w:type="dxa"/>
            <w:vAlign w:val="bottom"/>
            <w:tcBorders>
              <w:bottom w:val="single" w:sz="8" w:color="auto"/>
            </w:tcBorders>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(23,390)</w:t>
            </w:r>
          </w:p>
        </w:tc>
        <w:tc>
          <w:tcPr>
            <w:tcW w:w="100" w:type="dxa"/>
            <w:vAlign w:val="bottom"/>
            <w:tcBorders>
              <w:bottom w:val="single" w:sz="8" w:color="D2EDFE"/>
            </w:tcBorders>
            <w:shd w:val="clear" w:color="auto" w:fill="D2EDFE"/>
          </w:tcPr>
          <w:p>
            <w:pPr>
              <w:spacing w:after="0"/>
              <w:rPr>
                <w:sz w:val="21"/>
                <w:szCs w:val="21"/>
                <w:color w:val="auto"/>
              </w:rPr>
            </w:pPr>
          </w:p>
        </w:tc>
        <w:tc>
          <w:tcPr>
            <w:tcW w:w="420" w:type="dxa"/>
            <w:vAlign w:val="bottom"/>
            <w:tcBorders>
              <w:bottom w:val="single" w:sz="8" w:color="auto"/>
            </w:tcBorders>
            <w:shd w:val="clear" w:color="auto" w:fill="D2EDFE"/>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tcBorders>
              <w:bottom w:val="single" w:sz="8" w:color="D2EDFE"/>
            </w:tcBorders>
            <w:shd w:val="clear" w:color="auto" w:fill="D2EDFE"/>
          </w:tcPr>
          <w:p>
            <w:pPr>
              <w:spacing w:after="0"/>
              <w:rPr>
                <w:sz w:val="21"/>
                <w:szCs w:val="21"/>
                <w:color w:val="auto"/>
              </w:rPr>
            </w:pPr>
          </w:p>
        </w:tc>
        <w:tc>
          <w:tcPr>
            <w:tcW w:w="400" w:type="dxa"/>
            <w:vAlign w:val="bottom"/>
            <w:tcBorders>
              <w:bottom w:val="single" w:sz="8" w:color="auto"/>
            </w:tcBorders>
            <w:shd w:val="clear" w:color="auto" w:fill="D2EDFE"/>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(72,888)</w:t>
            </w:r>
          </w:p>
        </w:tc>
        <w:tc>
          <w:tcPr>
            <w:tcW w:w="120" w:type="dxa"/>
            <w:vAlign w:val="bottom"/>
            <w:tcBorders>
              <w:bottom w:val="single" w:sz="8" w:color="D2EDFE"/>
            </w:tcBorders>
            <w:shd w:val="clear" w:color="auto" w:fill="D2EDFE"/>
          </w:tcPr>
          <w:p>
            <w:pPr>
              <w:spacing w:after="0"/>
              <w:rPr>
                <w:sz w:val="21"/>
                <w:szCs w:val="21"/>
                <w:color w:val="auto"/>
              </w:rPr>
            </w:pPr>
          </w:p>
        </w:tc>
        <w:tc>
          <w:tcPr>
            <w:tcW w:w="400" w:type="dxa"/>
            <w:vAlign w:val="bottom"/>
            <w:tcBorders>
              <w:bottom w:val="single" w:sz="8" w:color="auto"/>
            </w:tcBorders>
            <w:shd w:val="clear" w:color="auto" w:fill="D2EDFE"/>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(67,336)</w:t>
            </w:r>
          </w:p>
        </w:tc>
        <w:tc>
          <w:tcPr>
            <w:tcW w:w="0" w:type="dxa"/>
            <w:vAlign w:val="bottom"/>
          </w:tcPr>
          <w:p>
            <w:pPr>
              <w:spacing w:after="0"/>
              <w:rPr>
                <w:sz w:val="1"/>
                <w:szCs w:val="1"/>
                <w:color w:val="auto"/>
              </w:rPr>
            </w:pPr>
          </w:p>
        </w:tc>
      </w:tr>
      <w:tr>
        <w:trPr>
          <w:trHeight w:val="20"/>
        </w:trPr>
        <w:tc>
          <w:tcPr>
            <w:tcW w:w="5120" w:type="dxa"/>
            <w:vAlign w:val="bottom"/>
            <w:tcBorders>
              <w:top w:val="single" w:sz="8" w:color="D2EDFE"/>
            </w:tcBorders>
            <w:gridSpan w:val="2"/>
          </w:tcPr>
          <w:p>
            <w:pPr>
              <w:spacing w:after="0" w:line="20" w:lineRule="exact"/>
              <w:rPr>
                <w:sz w:val="1"/>
                <w:szCs w:val="1"/>
                <w:color w:val="auto"/>
              </w:rPr>
            </w:pPr>
          </w:p>
        </w:tc>
        <w:tc>
          <w:tcPr>
            <w:tcW w:w="280" w:type="dxa"/>
            <w:vAlign w:val="bottom"/>
            <w:tcBorders>
              <w:top w:val="single" w:sz="8" w:color="D2EDFE"/>
              <w:bottom w:val="single" w:sz="8" w:color="auto"/>
            </w:tcBorders>
          </w:tcPr>
          <w:p>
            <w:pPr>
              <w:spacing w:after="0" w:line="20" w:lineRule="exact"/>
              <w:rPr>
                <w:sz w:val="1"/>
                <w:szCs w:val="1"/>
                <w:color w:val="auto"/>
              </w:rPr>
            </w:pPr>
          </w:p>
        </w:tc>
        <w:tc>
          <w:tcPr>
            <w:tcW w:w="116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420" w:type="dxa"/>
            <w:vAlign w:val="bottom"/>
            <w:tcBorders>
              <w:top w:val="single" w:sz="8" w:color="D2EDFE"/>
              <w:bottom w:val="single" w:sz="8" w:color="auto"/>
            </w:tcBorders>
          </w:tcPr>
          <w:p>
            <w:pPr>
              <w:spacing w:after="0" w:line="20" w:lineRule="exact"/>
              <w:rPr>
                <w:sz w:val="1"/>
                <w:szCs w:val="1"/>
                <w:color w:val="auto"/>
              </w:rPr>
            </w:pPr>
          </w:p>
        </w:tc>
        <w:tc>
          <w:tcPr>
            <w:tcW w:w="104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400" w:type="dxa"/>
            <w:vAlign w:val="bottom"/>
            <w:tcBorders>
              <w:top w:val="single" w:sz="8" w:color="D2EDFE"/>
              <w:bottom w:val="single" w:sz="8" w:color="auto"/>
            </w:tcBorders>
          </w:tcPr>
          <w:p>
            <w:pPr>
              <w:spacing w:after="0" w:line="20" w:lineRule="exact"/>
              <w:rPr>
                <w:sz w:val="1"/>
                <w:szCs w:val="1"/>
                <w:color w:val="auto"/>
              </w:rPr>
            </w:pPr>
          </w:p>
        </w:tc>
        <w:tc>
          <w:tcPr>
            <w:tcW w:w="1060" w:type="dxa"/>
            <w:vAlign w:val="bottom"/>
            <w:tcBorders>
              <w:top w:val="single" w:sz="8" w:color="D2EDFE"/>
              <w:bottom w:val="single" w:sz="8" w:color="auto"/>
            </w:tcBorders>
          </w:tcPr>
          <w:p>
            <w:pPr>
              <w:spacing w:after="0" w:line="20" w:lineRule="exact"/>
              <w:rPr>
                <w:sz w:val="1"/>
                <w:szCs w:val="1"/>
                <w:color w:val="auto"/>
              </w:rPr>
            </w:pPr>
          </w:p>
        </w:tc>
        <w:tc>
          <w:tcPr>
            <w:tcW w:w="120" w:type="dxa"/>
            <w:vAlign w:val="bottom"/>
            <w:tcBorders>
              <w:top w:val="single" w:sz="8" w:color="D2EDFE"/>
            </w:tcBorders>
          </w:tcPr>
          <w:p>
            <w:pPr>
              <w:spacing w:after="0" w:line="20" w:lineRule="exact"/>
              <w:rPr>
                <w:sz w:val="1"/>
                <w:szCs w:val="1"/>
                <w:color w:val="auto"/>
              </w:rPr>
            </w:pPr>
          </w:p>
        </w:tc>
        <w:tc>
          <w:tcPr>
            <w:tcW w:w="400" w:type="dxa"/>
            <w:vAlign w:val="bottom"/>
            <w:tcBorders>
              <w:top w:val="single" w:sz="8" w:color="D2EDFE"/>
              <w:bottom w:val="single" w:sz="8" w:color="auto"/>
            </w:tcBorders>
          </w:tcPr>
          <w:p>
            <w:pPr>
              <w:spacing w:after="0" w:line="20" w:lineRule="exact"/>
              <w:rPr>
                <w:sz w:val="1"/>
                <w:szCs w:val="1"/>
                <w:color w:val="auto"/>
              </w:rPr>
            </w:pPr>
          </w:p>
        </w:tc>
        <w:tc>
          <w:tcPr>
            <w:tcW w:w="10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280" w:type="dxa"/>
            <w:vAlign w:val="bottom"/>
            <w:shd w:val="clear" w:color="auto" w:fill="D2EDFE"/>
          </w:tcPr>
          <w:p>
            <w:pPr>
              <w:spacing w:after="0"/>
              <w:rPr>
                <w:sz w:val="19"/>
                <w:szCs w:val="19"/>
                <w:color w:val="auto"/>
              </w:rPr>
            </w:pPr>
          </w:p>
        </w:tc>
        <w:tc>
          <w:tcPr>
            <w:tcW w:w="116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c>
          <w:tcPr>
            <w:tcW w:w="120" w:type="dxa"/>
            <w:vAlign w:val="bottom"/>
            <w:shd w:val="clear" w:color="auto" w:fill="D2EDFE"/>
          </w:tcPr>
          <w:p>
            <w:pPr>
              <w:spacing w:after="0"/>
              <w:rPr>
                <w:sz w:val="19"/>
                <w:szCs w:val="19"/>
                <w:color w:val="auto"/>
              </w:rPr>
            </w:pPr>
          </w:p>
        </w:tc>
        <w:tc>
          <w:tcPr>
            <w:tcW w:w="400" w:type="dxa"/>
            <w:vAlign w:val="bottom"/>
            <w:shd w:val="clear" w:color="auto" w:fill="D2EDFE"/>
          </w:tcPr>
          <w:p>
            <w:pPr>
              <w:spacing w:after="0"/>
              <w:rPr>
                <w:sz w:val="19"/>
                <w:szCs w:val="19"/>
                <w:color w:val="auto"/>
              </w:rPr>
            </w:pPr>
          </w:p>
        </w:tc>
        <w:tc>
          <w:tcPr>
            <w:tcW w:w="104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117,456,282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55,625,566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116,368,987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54,637,372</w:t>
            </w:r>
          </w:p>
        </w:tc>
        <w:tc>
          <w:tcPr>
            <w:tcW w:w="0" w:type="dxa"/>
            <w:vAlign w:val="bottom"/>
          </w:tcPr>
          <w:p>
            <w:pPr>
              <w:spacing w:after="0"/>
              <w:rPr>
                <w:sz w:val="1"/>
                <w:szCs w:val="1"/>
                <w:color w:val="auto"/>
              </w:rPr>
            </w:pPr>
          </w:p>
        </w:tc>
      </w:tr>
      <w:tr>
        <w:trPr>
          <w:trHeight w:val="243"/>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Loss per share of Class A common stock</w:t>
            </w:r>
          </w:p>
        </w:tc>
        <w:tc>
          <w:tcPr>
            <w:tcW w:w="280" w:type="dxa"/>
            <w:vAlign w:val="bottom"/>
            <w:shd w:val="clear" w:color="auto" w:fill="D2EDFE"/>
          </w:tcPr>
          <w:p>
            <w:pPr>
              <w:spacing w:after="0"/>
              <w:rPr>
                <w:sz w:val="21"/>
                <w:szCs w:val="21"/>
                <w:color w:val="auto"/>
              </w:rPr>
            </w:pPr>
          </w:p>
        </w:tc>
        <w:tc>
          <w:tcPr>
            <w:tcW w:w="116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420" w:type="dxa"/>
            <w:vAlign w:val="bottom"/>
            <w:shd w:val="clear" w:color="auto" w:fill="D2EDFE"/>
          </w:tcPr>
          <w:p>
            <w:pPr>
              <w:spacing w:after="0"/>
              <w:rPr>
                <w:sz w:val="21"/>
                <w:szCs w:val="21"/>
                <w:color w:val="auto"/>
              </w:rPr>
            </w:pPr>
          </w:p>
        </w:tc>
        <w:tc>
          <w:tcPr>
            <w:tcW w:w="1040" w:type="dxa"/>
            <w:vAlign w:val="bottom"/>
            <w:shd w:val="clear" w:color="auto" w:fill="D2EDFE"/>
          </w:tcPr>
          <w:p>
            <w:pPr>
              <w:spacing w:after="0"/>
              <w:rPr>
                <w:sz w:val="21"/>
                <w:szCs w:val="21"/>
                <w:color w:val="auto"/>
              </w:rPr>
            </w:pPr>
          </w:p>
        </w:tc>
        <w:tc>
          <w:tcPr>
            <w:tcW w:w="100" w:type="dxa"/>
            <w:vAlign w:val="bottom"/>
            <w:shd w:val="clear" w:color="auto" w:fill="D2EDFE"/>
          </w:tcPr>
          <w:p>
            <w:pPr>
              <w:spacing w:after="0"/>
              <w:rPr>
                <w:sz w:val="21"/>
                <w:szCs w:val="21"/>
                <w:color w:val="auto"/>
              </w:rPr>
            </w:pPr>
          </w:p>
        </w:tc>
        <w:tc>
          <w:tcPr>
            <w:tcW w:w="400" w:type="dxa"/>
            <w:vAlign w:val="bottom"/>
            <w:shd w:val="clear" w:color="auto" w:fill="D2EDFE"/>
          </w:tcPr>
          <w:p>
            <w:pPr>
              <w:spacing w:after="0"/>
              <w:rPr>
                <w:sz w:val="21"/>
                <w:szCs w:val="21"/>
                <w:color w:val="auto"/>
              </w:rPr>
            </w:pPr>
          </w:p>
        </w:tc>
        <w:tc>
          <w:tcPr>
            <w:tcW w:w="1060" w:type="dxa"/>
            <w:vAlign w:val="bottom"/>
            <w:shd w:val="clear" w:color="auto" w:fill="D2EDFE"/>
          </w:tcPr>
          <w:p>
            <w:pPr>
              <w:spacing w:after="0"/>
              <w:rPr>
                <w:sz w:val="21"/>
                <w:szCs w:val="21"/>
                <w:color w:val="auto"/>
              </w:rPr>
            </w:pPr>
          </w:p>
        </w:tc>
        <w:tc>
          <w:tcPr>
            <w:tcW w:w="120" w:type="dxa"/>
            <w:vAlign w:val="bottom"/>
            <w:shd w:val="clear" w:color="auto" w:fill="D2EDFE"/>
          </w:tcPr>
          <w:p>
            <w:pPr>
              <w:spacing w:after="0"/>
              <w:rPr>
                <w:sz w:val="21"/>
                <w:szCs w:val="21"/>
                <w:color w:val="auto"/>
              </w:rPr>
            </w:pPr>
          </w:p>
        </w:tc>
        <w:tc>
          <w:tcPr>
            <w:tcW w:w="400" w:type="dxa"/>
            <w:vAlign w:val="bottom"/>
            <w:shd w:val="clear" w:color="auto" w:fill="D2EDFE"/>
          </w:tcPr>
          <w:p>
            <w:pPr>
              <w:spacing w:after="0"/>
              <w:rPr>
                <w:sz w:val="21"/>
                <w:szCs w:val="21"/>
                <w:color w:val="auto"/>
              </w:rPr>
            </w:pPr>
          </w:p>
        </w:tc>
        <w:tc>
          <w:tcPr>
            <w:tcW w:w="1040" w:type="dxa"/>
            <w:vAlign w:val="bottom"/>
            <w:shd w:val="clear" w:color="auto" w:fill="D2EDF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(0.63)</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D2EDFE"/>
          </w:tcPr>
          <w:p>
            <w:pPr>
              <w:spacing w:after="0"/>
              <w:rPr>
                <w:sz w:val="22"/>
                <w:szCs w:val="22"/>
                <w:color w:val="auto"/>
              </w:rPr>
            </w:pPr>
          </w:p>
        </w:tc>
        <w:tc>
          <w:tcPr>
            <w:tcW w:w="280" w:type="dxa"/>
            <w:vAlign w:val="bottom"/>
            <w:shd w:val="clear" w:color="auto" w:fill="D2EDFE"/>
          </w:tcPr>
          <w:p>
            <w:pPr>
              <w:spacing w:after="0"/>
              <w:rPr>
                <w:sz w:val="22"/>
                <w:szCs w:val="22"/>
                <w:color w:val="auto"/>
              </w:rPr>
            </w:pPr>
          </w:p>
        </w:tc>
        <w:tc>
          <w:tcPr>
            <w:tcW w:w="116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420" w:type="dxa"/>
            <w:vAlign w:val="bottom"/>
            <w:shd w:val="clear" w:color="auto" w:fill="D2EDFE"/>
          </w:tcPr>
          <w:p>
            <w:pPr>
              <w:spacing w:after="0"/>
              <w:rPr>
                <w:sz w:val="22"/>
                <w:szCs w:val="22"/>
                <w:color w:val="auto"/>
              </w:rPr>
            </w:pPr>
          </w:p>
        </w:tc>
        <w:tc>
          <w:tcPr>
            <w:tcW w:w="1040" w:type="dxa"/>
            <w:vAlign w:val="bottom"/>
            <w:shd w:val="clear" w:color="auto" w:fill="D2EDFE"/>
          </w:tcPr>
          <w:p>
            <w:pPr>
              <w:spacing w:after="0"/>
              <w:rPr>
                <w:sz w:val="22"/>
                <w:szCs w:val="22"/>
                <w:color w:val="auto"/>
              </w:rPr>
            </w:pPr>
          </w:p>
        </w:tc>
        <w:tc>
          <w:tcPr>
            <w:tcW w:w="100" w:type="dxa"/>
            <w:vAlign w:val="bottom"/>
            <w:shd w:val="clear" w:color="auto" w:fill="D2EDFE"/>
          </w:tcPr>
          <w:p>
            <w:pPr>
              <w:spacing w:after="0"/>
              <w:rPr>
                <w:sz w:val="22"/>
                <w:szCs w:val="22"/>
                <w:color w:val="auto"/>
              </w:rPr>
            </w:pPr>
          </w:p>
        </w:tc>
        <w:tc>
          <w:tcPr>
            <w:tcW w:w="400" w:type="dxa"/>
            <w:vAlign w:val="bottom"/>
            <w:shd w:val="clear" w:color="auto" w:fill="D2EDFE"/>
          </w:tcPr>
          <w:p>
            <w:pPr>
              <w:spacing w:after="0"/>
              <w:rPr>
                <w:sz w:val="22"/>
                <w:szCs w:val="22"/>
                <w:color w:val="auto"/>
              </w:rPr>
            </w:pPr>
          </w:p>
        </w:tc>
        <w:tc>
          <w:tcPr>
            <w:tcW w:w="1060" w:type="dxa"/>
            <w:vAlign w:val="bottom"/>
            <w:shd w:val="clear" w:color="auto" w:fill="D2EDFE"/>
          </w:tcPr>
          <w:p>
            <w:pPr>
              <w:spacing w:after="0"/>
              <w:rPr>
                <w:sz w:val="22"/>
                <w:szCs w:val="22"/>
                <w:color w:val="auto"/>
              </w:rPr>
            </w:pPr>
          </w:p>
        </w:tc>
        <w:tc>
          <w:tcPr>
            <w:tcW w:w="120" w:type="dxa"/>
            <w:vAlign w:val="bottom"/>
            <w:shd w:val="clear" w:color="auto" w:fill="D2EDFE"/>
          </w:tcPr>
          <w:p>
            <w:pPr>
              <w:spacing w:after="0"/>
              <w:rPr>
                <w:sz w:val="22"/>
                <w:szCs w:val="22"/>
                <w:color w:val="auto"/>
              </w:rPr>
            </w:pPr>
          </w:p>
        </w:tc>
        <w:tc>
          <w:tcPr>
            <w:tcW w:w="400" w:type="dxa"/>
            <w:vAlign w:val="bottom"/>
            <w:shd w:val="clear" w:color="auto" w:fill="D2EDFE"/>
          </w:tcPr>
          <w:p>
            <w:pPr>
              <w:spacing w:after="0"/>
              <w:rPr>
                <w:sz w:val="22"/>
                <w:szCs w:val="22"/>
                <w:color w:val="auto"/>
              </w:rPr>
            </w:pPr>
          </w:p>
        </w:tc>
        <w:tc>
          <w:tcPr>
            <w:tcW w:w="1040" w:type="dxa"/>
            <w:vAlign w:val="bottom"/>
            <w:shd w:val="clear" w:color="auto" w:fill="D2EDF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1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Foreign currency translation gain, net of income tax expense of $0.0</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2"/>
              </w:rPr>
              <w:t>million in the three months ended June 30, 2023, $0.4 million in the</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180"/>
              <w:spacing w:after="0" w:line="189" w:lineRule="exact"/>
              <w:rPr>
                <w:sz w:val="20"/>
                <w:szCs w:val="20"/>
                <w:color w:val="auto"/>
              </w:rPr>
            </w:pPr>
            <w:r>
              <w:rPr>
                <w:rFonts w:ascii="Arial" w:cs="Arial" w:eastAsia="Arial" w:hAnsi="Arial"/>
                <w:sz w:val="18"/>
                <w:szCs w:val="18"/>
                <w:color w:val="auto"/>
                <w:w w:val="92"/>
              </w:rPr>
              <w:t>nine months ended June 30, 2023, and $0 in the three months and</w:t>
            </w:r>
          </w:p>
        </w:tc>
        <w:tc>
          <w:tcPr>
            <w:tcW w:w="2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7"/>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nine months ended June 30, 2022</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Total other comprehensive income</w:t>
            </w:r>
          </w:p>
        </w:tc>
        <w:tc>
          <w:tcPr>
            <w:tcW w:w="280" w:type="dxa"/>
            <w:vAlign w:val="bottom"/>
            <w:shd w:val="clear" w:color="auto" w:fill="D2EDF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5,079</w:t>
            </w:r>
          </w:p>
        </w:tc>
        <w:tc>
          <w:tcPr>
            <w:tcW w:w="520" w:type="dxa"/>
            <w:vAlign w:val="bottom"/>
            <w:gridSpan w:val="2"/>
            <w:shd w:val="clear" w:color="auto" w:fill="D2EDFE"/>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1,631</w:t>
            </w:r>
          </w:p>
        </w:tc>
        <w:tc>
          <w:tcPr>
            <w:tcW w:w="500" w:type="dxa"/>
            <w:vAlign w:val="bottom"/>
            <w:gridSpan w:val="2"/>
            <w:shd w:val="clear" w:color="auto" w:fill="D2EDFE"/>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25</w:t>
            </w:r>
          </w:p>
        </w:tc>
        <w:tc>
          <w:tcPr>
            <w:tcW w:w="520" w:type="dxa"/>
            <w:vAlign w:val="bottom"/>
            <w:gridSpan w:val="2"/>
            <w:shd w:val="clear" w:color="auto" w:fill="D2EDFE"/>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D2EDFE"/>
            </w:tcBorders>
            <w:gridSpan w:val="2"/>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Borders>
              <w:bottom w:val="single" w:sz="8" w:color="D2EDFE"/>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(59,198)</w:t>
            </w:r>
          </w:p>
        </w:tc>
        <w:tc>
          <w:tcPr>
            <w:tcW w:w="100" w:type="dxa"/>
            <w:vAlign w:val="bottom"/>
            <w:tcBorders>
              <w:bottom w:val="single" w:sz="8" w:color="D2EDFE"/>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(109,611)</w:t>
            </w:r>
          </w:p>
        </w:tc>
        <w:tc>
          <w:tcPr>
            <w:tcW w:w="120" w:type="dxa"/>
            <w:vAlign w:val="bottom"/>
            <w:tcBorders>
              <w:bottom w:val="single" w:sz="8" w:color="D2EDFE"/>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280" w:type="dxa"/>
            <w:vAlign w:val="bottom"/>
            <w:tcBorders>
              <w:bottom w:val="single" w:sz="8" w:color="auto"/>
            </w:tcBorders>
            <w:shd w:val="clear" w:color="auto" w:fill="D2EDFE"/>
          </w:tcPr>
          <w:p>
            <w:pPr>
              <w:spacing w:after="0"/>
              <w:rPr>
                <w:sz w:val="19"/>
                <w:szCs w:val="19"/>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(9,963)</w:t>
            </w:r>
          </w:p>
        </w:tc>
        <w:tc>
          <w:tcPr>
            <w:tcW w:w="100" w:type="dxa"/>
            <w:vAlign w:val="bottom"/>
            <w:tcBorders>
              <w:bottom w:val="single" w:sz="8" w:color="D2EDFE"/>
            </w:tcBorders>
            <w:shd w:val="clear" w:color="auto" w:fill="D2EDFE"/>
          </w:tcPr>
          <w:p>
            <w:pPr>
              <w:spacing w:after="0"/>
              <w:rPr>
                <w:sz w:val="19"/>
                <w:szCs w:val="19"/>
                <w:color w:val="auto"/>
              </w:rPr>
            </w:pPr>
          </w:p>
        </w:tc>
        <w:tc>
          <w:tcPr>
            <w:tcW w:w="42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(40,367)</w:t>
            </w:r>
          </w:p>
        </w:tc>
        <w:tc>
          <w:tcPr>
            <w:tcW w:w="100" w:type="dxa"/>
            <w:vAlign w:val="bottom"/>
            <w:tcBorders>
              <w:bottom w:val="single" w:sz="8" w:color="D2EDFE"/>
            </w:tcBorders>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spacing w:after="0"/>
              <w:rPr>
                <w:sz w:val="19"/>
                <w:szCs w:val="19"/>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(36,761)</w:t>
            </w:r>
          </w:p>
        </w:tc>
        <w:tc>
          <w:tcPr>
            <w:tcW w:w="120" w:type="dxa"/>
            <w:vAlign w:val="bottom"/>
            <w:tcBorders>
              <w:bottom w:val="single" w:sz="8" w:color="D2EDFE"/>
            </w:tcBorders>
            <w:shd w:val="clear" w:color="auto" w:fill="D2EDFE"/>
          </w:tcPr>
          <w:p>
            <w:pPr>
              <w:spacing w:after="0"/>
              <w:rPr>
                <w:sz w:val="19"/>
                <w:szCs w:val="19"/>
                <w:color w:val="auto"/>
              </w:rPr>
            </w:pPr>
          </w:p>
        </w:tc>
        <w:tc>
          <w:tcPr>
            <w:tcW w:w="400" w:type="dxa"/>
            <w:vAlign w:val="bottom"/>
            <w:tcBorders>
              <w:bottom w:val="single" w:sz="8" w:color="auto"/>
            </w:tcBorders>
            <w:shd w:val="clear" w:color="auto" w:fill="D2EDFE"/>
          </w:tcPr>
          <w:p>
            <w:pPr>
              <w:spacing w:after="0"/>
              <w:rPr>
                <w:sz w:val="19"/>
                <w:szCs w:val="19"/>
                <w:color w:val="auto"/>
              </w:rPr>
            </w:pPr>
          </w:p>
        </w:tc>
        <w:tc>
          <w:tcPr>
            <w:tcW w:w="10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(164,470)</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Total comprehensive loss attributable to Fluence Energy,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(20,003)</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(18,831)</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(72,850)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(66,611)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 MEMBERS’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(DEFICIT), AND MEZZANINE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in Thousands, except Shares/Units)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15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vMerge w:val="restart"/>
          </w:tcPr>
          <w:p>
            <w:pPr>
              <w:jc w:val="right"/>
              <w:ind w:right="219"/>
              <w:spacing w:after="0"/>
              <w:rPr>
                <w:sz w:val="20"/>
                <w:szCs w:val="20"/>
                <w:color w:val="auto"/>
              </w:rPr>
            </w:pPr>
            <w:r>
              <w:rPr>
                <w:rFonts w:ascii="Arial" w:cs="Arial" w:eastAsia="Arial" w:hAnsi="Arial"/>
                <w:sz w:val="16"/>
                <w:szCs w:val="16"/>
                <w:b w:val="1"/>
                <w:bCs w:val="1"/>
                <w:color w:val="auto"/>
              </w:rPr>
              <w:t>Class A</w:t>
            </w:r>
          </w:p>
        </w:tc>
        <w:tc>
          <w:tcPr>
            <w:tcW w:w="3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0"/>
              </w:rPr>
              <w:t>Class B-1</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spacing w:after="0"/>
              <w:rPr>
                <w:sz w:val="20"/>
                <w:szCs w:val="20"/>
                <w:color w:val="auto"/>
              </w:rPr>
            </w:pPr>
            <w:r>
              <w:rPr>
                <w:rFonts w:ascii="Arial" w:cs="Arial" w:eastAsia="Arial" w:hAnsi="Arial"/>
                <w:sz w:val="16"/>
                <w:szCs w:val="16"/>
                <w:b w:val="1"/>
                <w:bCs w:val="1"/>
                <w:color w:val="auto"/>
              </w:rPr>
              <w:t>Accumulated</w:t>
            </w: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9"/>
              <w:spacing w:after="0" w:line="175"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520" w:type="dxa"/>
            <w:vAlign w:val="bottom"/>
            <w:gridSpan w:val="3"/>
            <w:vMerge w:val="restart"/>
          </w:tcPr>
          <w:p>
            <w:pPr>
              <w:jc w:val="right"/>
              <w:ind w:right="159"/>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4"/>
                <w:szCs w:val="14"/>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Non-</w:t>
            </w:r>
          </w:p>
        </w:tc>
        <w:tc>
          <w:tcPr>
            <w:tcW w:w="10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4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Common Stock</w:t>
            </w:r>
          </w:p>
        </w:tc>
        <w:tc>
          <w:tcPr>
            <w:tcW w:w="360" w:type="dxa"/>
            <w:vAlign w:val="bottom"/>
          </w:tcPr>
          <w:p>
            <w:pPr>
              <w:spacing w:after="0"/>
              <w:rPr>
                <w:sz w:val="14"/>
                <w:szCs w:val="14"/>
                <w:color w:val="auto"/>
              </w:rPr>
            </w:pPr>
          </w:p>
        </w:tc>
        <w:tc>
          <w:tcPr>
            <w:tcW w:w="15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Common Stock</w:t>
            </w: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99"/>
              <w:spacing w:after="0" w:line="162" w:lineRule="exact"/>
              <w:rPr>
                <w:sz w:val="20"/>
                <w:szCs w:val="20"/>
                <w:color w:val="auto"/>
              </w:rPr>
            </w:pPr>
            <w:r>
              <w:rPr>
                <w:rFonts w:ascii="Arial" w:cs="Arial" w:eastAsia="Arial" w:hAnsi="Arial"/>
                <w:sz w:val="16"/>
                <w:szCs w:val="16"/>
                <w:b w:val="1"/>
                <w:bCs w:val="1"/>
                <w:color w:val="auto"/>
              </w:rPr>
              <w:t>Other</w:t>
            </w:r>
          </w:p>
        </w:tc>
        <w:tc>
          <w:tcPr>
            <w:tcW w:w="1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equity and</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jc w:val="right"/>
              <w:ind w:right="59"/>
              <w:spacing w:after="0" w:line="162" w:lineRule="exact"/>
              <w:rPr>
                <w:sz w:val="20"/>
                <w:szCs w:val="20"/>
                <w:color w:val="auto"/>
              </w:rPr>
            </w:pPr>
            <w:r>
              <w:rPr>
                <w:rFonts w:ascii="Arial" w:cs="Arial" w:eastAsia="Arial" w:hAnsi="Arial"/>
                <w:sz w:val="16"/>
                <w:szCs w:val="16"/>
                <w:b w:val="1"/>
                <w:bCs w:val="1"/>
                <w:color w:val="auto"/>
                <w:w w:val="97"/>
              </w:rPr>
              <w:t>Paid-In</w:t>
            </w:r>
          </w:p>
        </w:tc>
        <w:tc>
          <w:tcPr>
            <w:tcW w:w="2120" w:type="dxa"/>
            <w:vAlign w:val="bottom"/>
            <w:gridSpan w:val="4"/>
            <w:vMerge w:val="restart"/>
          </w:tcPr>
          <w:p>
            <w:pPr>
              <w:jc w:val="right"/>
              <w:spacing w:after="0" w:line="162" w:lineRule="exact"/>
              <w:rPr>
                <w:sz w:val="20"/>
                <w:szCs w:val="20"/>
                <w:color w:val="auto"/>
              </w:rPr>
            </w:pPr>
            <w:r>
              <w:rPr>
                <w:rFonts w:ascii="Arial" w:cs="Arial" w:eastAsia="Arial" w:hAnsi="Arial"/>
                <w:sz w:val="16"/>
                <w:szCs w:val="16"/>
                <w:b w:val="1"/>
                <w:bCs w:val="1"/>
                <w:color w:val="auto"/>
                <w:w w:val="91"/>
              </w:rPr>
              <w:t>Accumulated Comprehensive</w:t>
            </w: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20" w:type="dxa"/>
            <w:vAlign w:val="bottom"/>
          </w:tcPr>
          <w:p>
            <w:pPr>
              <w:spacing w:after="0"/>
              <w:rPr>
                <w:sz w:val="2"/>
                <w:szCs w:val="2"/>
                <w:color w:val="auto"/>
              </w:rPr>
            </w:pPr>
          </w:p>
        </w:tc>
        <w:tc>
          <w:tcPr>
            <w:tcW w:w="9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members’</w:t>
            </w: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66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7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0"/>
                <w:szCs w:val="10"/>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Income (Loss)</w:t>
            </w: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interest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58"/>
        </w:trPr>
        <w:tc>
          <w:tcPr>
            <w:tcW w:w="15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w w:val="94"/>
              </w:rPr>
              <w:t>Balance at March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116,486,460</w:t>
            </w: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58,586,695</w:t>
            </w: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563,222</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(154,041)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572,251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164,679</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567,995</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2023</w:t>
            </w:r>
          </w:p>
        </w:tc>
        <w:tc>
          <w:tcPr>
            <w:tcW w:w="10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(23,390)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(11,655)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(35,045)</w:t>
            </w: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Stock-based</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compensation expense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358,788</w:t>
            </w:r>
          </w:p>
        </w:tc>
        <w:tc>
          <w:tcPr>
            <w:tcW w:w="3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5,677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5,677</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related vesting</w:t>
            </w:r>
          </w:p>
        </w:tc>
        <w:tc>
          <w:tcPr>
            <w:tcW w:w="10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Arial" w:cs="Arial" w:eastAsia="Arial" w:hAnsi="Arial"/>
                <w:sz w:val="16"/>
                <w:szCs w:val="16"/>
                <w:color w:val="auto"/>
                <w:w w:val="91"/>
              </w:rPr>
              <w:t>Repurchase of Class A</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20"/>
              <w:spacing w:after="0" w:line="162" w:lineRule="exact"/>
              <w:rPr>
                <w:sz w:val="20"/>
                <w:szCs w:val="20"/>
                <w:color w:val="auto"/>
              </w:rPr>
            </w:pPr>
            <w:r>
              <w:rPr>
                <w:rFonts w:ascii="Arial" w:cs="Arial" w:eastAsia="Arial" w:hAnsi="Arial"/>
                <w:sz w:val="16"/>
                <w:szCs w:val="16"/>
                <w:color w:val="auto"/>
                <w:w w:val="96"/>
              </w:rPr>
              <w:t>common stock placed</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(73,537)</w:t>
            </w:r>
          </w:p>
        </w:tc>
        <w:tc>
          <w:tcPr>
            <w:tcW w:w="380" w:type="dxa"/>
            <w:vAlign w:val="bottom"/>
          </w:tcPr>
          <w:p>
            <w:pPr>
              <w:spacing w:after="0"/>
              <w:rPr>
                <w:sz w:val="14"/>
                <w:szCs w:val="14"/>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73,537</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(1,331)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rPr>
                <w:sz w:val="20"/>
                <w:szCs w:val="20"/>
                <w:color w:val="auto"/>
              </w:rPr>
            </w:pPr>
            <w:r>
              <w:rPr>
                <w:rFonts w:ascii="Arial" w:cs="Arial" w:eastAsia="Arial" w:hAnsi="Arial"/>
                <w:sz w:val="16"/>
                <w:szCs w:val="16"/>
                <w:color w:val="auto"/>
              </w:rPr>
              <w:t>into Treasury</w:t>
            </w:r>
          </w:p>
        </w:tc>
        <w:tc>
          <w:tcPr>
            <w:tcW w:w="1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Effect of</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0"/>
              </w:rPr>
              <w:t>remeasurement of non-</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controlling interest due</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to other share</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Arial" w:cs="Arial" w:eastAsia="Arial" w:hAnsi="Arial"/>
                <w:sz w:val="16"/>
                <w:szCs w:val="16"/>
                <w:color w:val="auto"/>
              </w:rPr>
              <w:t>Proceeds from</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20"/>
              <w:spacing w:after="0" w:line="162" w:lineRule="exact"/>
              <w:rPr>
                <w:sz w:val="20"/>
                <w:szCs w:val="20"/>
                <w:color w:val="auto"/>
              </w:rPr>
            </w:pPr>
            <w:r>
              <w:rPr>
                <w:rFonts w:ascii="Arial" w:cs="Arial" w:eastAsia="Arial" w:hAnsi="Arial"/>
                <w:sz w:val="16"/>
                <w:szCs w:val="16"/>
                <w:color w:val="auto"/>
              </w:rPr>
              <w:t>exercise of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1,511,607</w:t>
            </w:r>
          </w:p>
        </w:tc>
        <w:tc>
          <w:tcPr>
            <w:tcW w:w="380" w:type="dxa"/>
            <w:vAlign w:val="bottom"/>
          </w:tcPr>
          <w:p>
            <w:pPr>
              <w:spacing w:after="0"/>
              <w:rPr>
                <w:sz w:val="14"/>
                <w:szCs w:val="14"/>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3,074</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rPr>
                <w:sz w:val="20"/>
                <w:szCs w:val="20"/>
                <w:color w:val="auto"/>
              </w:rPr>
            </w:pPr>
            <w:r>
              <w:rPr>
                <w:rFonts w:ascii="Arial" w:cs="Arial" w:eastAsia="Arial" w:hAnsi="Arial"/>
                <w:sz w:val="16"/>
                <w:szCs w:val="16"/>
                <w:color w:val="auto"/>
              </w:rPr>
              <w:t>options</w:t>
            </w:r>
          </w:p>
        </w:tc>
        <w:tc>
          <w:tcPr>
            <w:tcW w:w="1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 currency</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translation loss, net of</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income tax expense of</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3,387</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5,079</w:t>
            </w: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 million</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5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at June 30,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118,283,318</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58,586,695</w:t>
            </w: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573,850</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(177,431)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645,788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(6,632)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152,839</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545,449</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54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Balance at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114,873,121</w:t>
            </w:r>
          </w:p>
        </w:tc>
        <w:tc>
          <w:tcPr>
            <w:tcW w:w="380" w:type="dxa"/>
            <w:vAlign w:val="bottom"/>
          </w:tcPr>
          <w:p>
            <w:pPr>
              <w:spacing w:after="0"/>
              <w:rPr>
                <w:sz w:val="13"/>
                <w:szCs w:val="13"/>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58,586,695</w:t>
            </w: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542,602</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(104,544)</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2,784</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550,904</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(5,013)</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193,378</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629,208</w:t>
            </w:r>
          </w:p>
        </w:tc>
        <w:tc>
          <w:tcPr>
            <w:tcW w:w="0" w:type="dxa"/>
            <w:vAlign w:val="bottom"/>
          </w:tcPr>
          <w:p>
            <w:pPr>
              <w:spacing w:after="0"/>
              <w:rPr>
                <w:sz w:val="1"/>
                <w:szCs w:val="1"/>
                <w:color w:val="auto"/>
              </w:rPr>
            </w:pPr>
          </w:p>
        </w:tc>
      </w:tr>
      <w:tr>
        <w:trPr>
          <w:trHeight w:val="210"/>
        </w:trPr>
        <w:tc>
          <w:tcPr>
            <w:tcW w:w="1540" w:type="dxa"/>
            <w:vAlign w:val="bottom"/>
          </w:tcPr>
          <w:p>
            <w:pPr>
              <w:ind w:left="20"/>
              <w:spacing w:after="0"/>
              <w:rPr>
                <w:sz w:val="20"/>
                <w:szCs w:val="20"/>
                <w:color w:val="auto"/>
              </w:rPr>
            </w:pPr>
            <w:r>
              <w:rPr>
                <w:rFonts w:ascii="Arial" w:cs="Arial" w:eastAsia="Arial" w:hAnsi="Arial"/>
                <w:sz w:val="16"/>
                <w:szCs w:val="16"/>
                <w:b w:val="1"/>
                <w:bCs w:val="1"/>
                <w:color w:val="auto"/>
              </w:rPr>
              <w:t>September 30, 2022</w:t>
            </w:r>
          </w:p>
        </w:tc>
        <w:tc>
          <w:tcPr>
            <w:tcW w:w="1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(72,888)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(36,748)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(109,636)</w:t>
            </w: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Stock-based</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1"/>
              </w:rPr>
              <w:t>compensation expense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667,048</w:t>
            </w:r>
          </w:p>
        </w:tc>
        <w:tc>
          <w:tcPr>
            <w:tcW w:w="3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related vesting</w:t>
            </w:r>
          </w:p>
        </w:tc>
        <w:tc>
          <w:tcPr>
            <w:tcW w:w="10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Arial" w:cs="Arial" w:eastAsia="Arial" w:hAnsi="Arial"/>
                <w:sz w:val="16"/>
                <w:szCs w:val="16"/>
                <w:color w:val="auto"/>
              </w:rPr>
              <w:t>Repurchase of</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20"/>
              <w:spacing w:after="0" w:line="162" w:lineRule="exact"/>
              <w:rPr>
                <w:sz w:val="20"/>
                <w:szCs w:val="20"/>
                <w:color w:val="auto"/>
              </w:rPr>
            </w:pPr>
            <w:r>
              <w:rPr>
                <w:rFonts w:ascii="Arial" w:cs="Arial" w:eastAsia="Arial" w:hAnsi="Arial"/>
                <w:sz w:val="16"/>
                <w:szCs w:val="16"/>
                <w:color w:val="auto"/>
                <w:w w:val="93"/>
              </w:rPr>
              <w:t>Common Stock placed</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(94,884)</w:t>
            </w:r>
          </w:p>
        </w:tc>
        <w:tc>
          <w:tcPr>
            <w:tcW w:w="380" w:type="dxa"/>
            <w:vAlign w:val="bottom"/>
          </w:tcPr>
          <w:p>
            <w:pPr>
              <w:spacing w:after="0"/>
              <w:rPr>
                <w:sz w:val="14"/>
                <w:szCs w:val="14"/>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94,884</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(1,619)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rPr>
                <w:sz w:val="20"/>
                <w:szCs w:val="20"/>
                <w:color w:val="auto"/>
              </w:rPr>
            </w:pPr>
            <w:r>
              <w:rPr>
                <w:rFonts w:ascii="Arial" w:cs="Arial" w:eastAsia="Arial" w:hAnsi="Arial"/>
                <w:sz w:val="16"/>
                <w:szCs w:val="16"/>
                <w:color w:val="auto"/>
              </w:rPr>
              <w:t>into Treasury</w:t>
            </w:r>
          </w:p>
        </w:tc>
        <w:tc>
          <w:tcPr>
            <w:tcW w:w="1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Effect of</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0"/>
              </w:rPr>
              <w:t>remeasurement of non-</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controlling interest due</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to other share</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40" w:type="dxa"/>
            <w:vAlign w:val="bottom"/>
          </w:tcPr>
          <w:p>
            <w:pPr>
              <w:ind w:left="20"/>
              <w:spacing w:after="0" w:line="166" w:lineRule="exact"/>
              <w:rPr>
                <w:sz w:val="20"/>
                <w:szCs w:val="20"/>
                <w:color w:val="auto"/>
              </w:rPr>
            </w:pPr>
            <w:r>
              <w:rPr>
                <w:rFonts w:ascii="Arial" w:cs="Arial" w:eastAsia="Arial" w:hAnsi="Arial"/>
                <w:sz w:val="16"/>
                <w:szCs w:val="16"/>
                <w:color w:val="auto"/>
              </w:rPr>
              <w:t>Proceeds from</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20"/>
              <w:spacing w:after="0" w:line="162" w:lineRule="exact"/>
              <w:rPr>
                <w:sz w:val="20"/>
                <w:szCs w:val="20"/>
                <w:color w:val="auto"/>
              </w:rPr>
            </w:pPr>
            <w:r>
              <w:rPr>
                <w:rFonts w:ascii="Arial" w:cs="Arial" w:eastAsia="Arial" w:hAnsi="Arial"/>
                <w:sz w:val="16"/>
                <w:szCs w:val="16"/>
                <w:color w:val="auto"/>
              </w:rPr>
              <w:t>exercise of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2,838,033</w:t>
            </w:r>
          </w:p>
        </w:tc>
        <w:tc>
          <w:tcPr>
            <w:tcW w:w="380" w:type="dxa"/>
            <w:vAlign w:val="bottom"/>
          </w:tcPr>
          <w:p>
            <w:pPr>
              <w:spacing w:after="0"/>
              <w:rPr>
                <w:sz w:val="14"/>
                <w:szCs w:val="14"/>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6,030</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09"/>
        </w:trPr>
        <w:tc>
          <w:tcPr>
            <w:tcW w:w="1540" w:type="dxa"/>
            <w:vAlign w:val="bottom"/>
          </w:tcPr>
          <w:p>
            <w:pPr>
              <w:ind w:left="20"/>
              <w:spacing w:after="0"/>
              <w:rPr>
                <w:sz w:val="20"/>
                <w:szCs w:val="20"/>
                <w:color w:val="auto"/>
              </w:rPr>
            </w:pPr>
            <w:r>
              <w:rPr>
                <w:rFonts w:ascii="Arial" w:cs="Arial" w:eastAsia="Arial" w:hAnsi="Arial"/>
                <w:sz w:val="16"/>
                <w:szCs w:val="16"/>
                <w:color w:val="auto"/>
              </w:rPr>
              <w:t>options</w:t>
            </w:r>
          </w:p>
        </w:tc>
        <w:tc>
          <w:tcPr>
            <w:tcW w:w="1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 currency</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translation loss, net of</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income tax expense of</w:t>
            </w: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$0.4 million</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4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Balance at June 30,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118,283,318</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58,586,695</w:t>
            </w: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573,850</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645,788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(6,632)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152,839</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(177,431)</w:t>
            </w:r>
          </w:p>
        </w:tc>
        <w:tc>
          <w:tcPr>
            <w:tcW w:w="1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545,449</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2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51"/>
              <w:spacing w:after="0"/>
              <w:rPr>
                <w:sz w:val="20"/>
                <w:szCs w:val="20"/>
                <w:color w:val="auto"/>
              </w:rPr>
            </w:pPr>
            <w:r>
              <w:rPr>
                <w:rFonts w:ascii="Arial" w:cs="Arial" w:eastAsia="Arial" w:hAnsi="Arial"/>
                <w:sz w:val="13"/>
                <w:szCs w:val="13"/>
                <w:b w:val="1"/>
                <w:bCs w:val="1"/>
                <w:color w:val="auto"/>
                <w:w w:val="88"/>
              </w:rPr>
              <w:t>Members’</w:t>
            </w:r>
          </w:p>
        </w:tc>
        <w:tc>
          <w:tcPr>
            <w:tcW w:w="1440" w:type="dxa"/>
            <w:vAlign w:val="bottom"/>
            <w:gridSpan w:val="3"/>
          </w:tcPr>
          <w:p>
            <w:pPr>
              <w:jc w:val="right"/>
              <w:ind w:right="449"/>
              <w:spacing w:after="0" w:line="135" w:lineRule="exact"/>
              <w:rPr>
                <w:sz w:val="20"/>
                <w:szCs w:val="20"/>
                <w:color w:val="auto"/>
              </w:rPr>
            </w:pPr>
            <w:r>
              <w:rPr>
                <w:rFonts w:ascii="Arial" w:cs="Arial" w:eastAsia="Arial" w:hAnsi="Arial"/>
                <w:sz w:val="13"/>
                <w:szCs w:val="13"/>
                <w:b w:val="1"/>
                <w:bCs w:val="1"/>
                <w:color w:val="auto"/>
              </w:rPr>
              <w:t>Class A</w:t>
            </w:r>
          </w:p>
        </w:tc>
        <w:tc>
          <w:tcPr>
            <w:tcW w:w="1500" w:type="dxa"/>
            <w:vAlign w:val="bottom"/>
            <w:gridSpan w:val="3"/>
          </w:tcPr>
          <w:p>
            <w:pPr>
              <w:jc w:val="right"/>
              <w:ind w:right="409"/>
              <w:spacing w:after="0" w:line="135" w:lineRule="exact"/>
              <w:rPr>
                <w:sz w:val="20"/>
                <w:szCs w:val="20"/>
                <w:color w:val="auto"/>
              </w:rPr>
            </w:pPr>
            <w:r>
              <w:rPr>
                <w:rFonts w:ascii="Arial" w:cs="Arial" w:eastAsia="Arial" w:hAnsi="Arial"/>
                <w:sz w:val="13"/>
                <w:szCs w:val="13"/>
                <w:b w:val="1"/>
                <w:bCs w:val="1"/>
                <w:color w:val="auto"/>
              </w:rPr>
              <w:t>Class B-1</w:t>
            </w:r>
          </w:p>
        </w:tc>
        <w:tc>
          <w:tcPr>
            <w:tcW w:w="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420" w:type="dxa"/>
            <w:vAlign w:val="bottom"/>
            <w:gridSpan w:val="3"/>
            <w:vMerge w:val="restart"/>
          </w:tcPr>
          <w:p>
            <w:pPr>
              <w:jc w:val="right"/>
              <w:ind w:right="31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1"/>
                <w:szCs w:val="11"/>
                <w:color w:val="auto"/>
              </w:rPr>
            </w:pPr>
          </w:p>
        </w:tc>
        <w:tc>
          <w:tcPr>
            <w:tcW w:w="64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w w:val="87"/>
              </w:rPr>
              <w:t>Non-</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440" w:type="dxa"/>
            <w:vAlign w:val="bottom"/>
            <w:gridSpan w:val="3"/>
          </w:tcPr>
          <w:p>
            <w:pPr>
              <w:jc w:val="right"/>
              <w:ind w:right="229"/>
              <w:spacing w:after="0" w:line="122" w:lineRule="exact"/>
              <w:rPr>
                <w:sz w:val="20"/>
                <w:szCs w:val="20"/>
                <w:color w:val="auto"/>
              </w:rPr>
            </w:pPr>
            <w:r>
              <w:rPr>
                <w:rFonts w:ascii="Arial" w:cs="Arial" w:eastAsia="Arial" w:hAnsi="Arial"/>
                <w:sz w:val="13"/>
                <w:szCs w:val="13"/>
                <w:b w:val="1"/>
                <w:bCs w:val="1"/>
                <w:color w:val="auto"/>
              </w:rPr>
              <w:t>Common Stock</w:t>
            </w:r>
          </w:p>
        </w:tc>
        <w:tc>
          <w:tcPr>
            <w:tcW w:w="1500" w:type="dxa"/>
            <w:vAlign w:val="bottom"/>
            <w:gridSpan w:val="3"/>
          </w:tcPr>
          <w:p>
            <w:pPr>
              <w:jc w:val="right"/>
              <w:ind w:right="249"/>
              <w:spacing w:after="0" w:line="122"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ind w:right="89"/>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89"/>
              </w:rPr>
              <w:t>equity and</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740" w:type="dxa"/>
            <w:vAlign w:val="bottom"/>
            <w:gridSpan w:val="2"/>
            <w:vMerge w:val="restart"/>
          </w:tcPr>
          <w:p>
            <w:pPr>
              <w:jc w:val="right"/>
              <w:ind w:right="10"/>
              <w:spacing w:after="0" w:line="122" w:lineRule="exact"/>
              <w:rPr>
                <w:sz w:val="20"/>
                <w:szCs w:val="20"/>
                <w:color w:val="auto"/>
              </w:rPr>
            </w:pPr>
            <w:r>
              <w:rPr>
                <w:rFonts w:ascii="Arial" w:cs="Arial" w:eastAsia="Arial" w:hAnsi="Arial"/>
                <w:sz w:val="13"/>
                <w:szCs w:val="13"/>
                <w:b w:val="1"/>
                <w:bCs w:val="1"/>
                <w:color w:val="auto"/>
                <w:w w:val="98"/>
              </w:rPr>
              <w:t>Mezzanine</w:t>
            </w:r>
          </w:p>
        </w:tc>
        <w:tc>
          <w:tcPr>
            <w:tcW w:w="120" w:type="dxa"/>
            <w:vAlign w:val="bottom"/>
          </w:tcPr>
          <w:p>
            <w:pPr>
              <w:spacing w:after="0"/>
              <w:rPr>
                <w:sz w:val="4"/>
                <w:szCs w:val="4"/>
                <w:color w:val="auto"/>
              </w:rPr>
            </w:pPr>
          </w:p>
        </w:tc>
        <w:tc>
          <w:tcPr>
            <w:tcW w:w="700" w:type="dxa"/>
            <w:vAlign w:val="bottom"/>
            <w:vMerge w:val="restart"/>
          </w:tcPr>
          <w:p>
            <w:pPr>
              <w:jc w:val="center"/>
              <w:ind w:right="51"/>
              <w:spacing w:after="0" w:line="122" w:lineRule="exact"/>
              <w:rPr>
                <w:sz w:val="20"/>
                <w:szCs w:val="20"/>
                <w:color w:val="auto"/>
              </w:rPr>
            </w:pPr>
            <w:r>
              <w:rPr>
                <w:rFonts w:ascii="Arial" w:cs="Arial" w:eastAsia="Arial" w:hAnsi="Arial"/>
                <w:sz w:val="13"/>
                <w:szCs w:val="13"/>
                <w:b w:val="1"/>
                <w:bCs w:val="1"/>
                <w:color w:val="auto"/>
                <w:w w:val="92"/>
              </w:rPr>
              <w:t>capital</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right"/>
              <w:ind w:right="89"/>
              <w:spacing w:after="0" w:line="122" w:lineRule="exact"/>
              <w:rPr>
                <w:sz w:val="20"/>
                <w:szCs w:val="20"/>
                <w:color w:val="auto"/>
              </w:rPr>
            </w:pPr>
            <w:r>
              <w:rPr>
                <w:rFonts w:ascii="Arial" w:cs="Arial" w:eastAsia="Arial" w:hAnsi="Arial"/>
                <w:sz w:val="13"/>
                <w:szCs w:val="13"/>
                <w:b w:val="1"/>
                <w:bCs w:val="1"/>
                <w:color w:val="auto"/>
              </w:rPr>
              <w:t>Paid-In</w:t>
            </w:r>
          </w:p>
        </w:tc>
        <w:tc>
          <w:tcPr>
            <w:tcW w:w="1680" w:type="dxa"/>
            <w:vAlign w:val="bottom"/>
            <w:gridSpan w:val="4"/>
            <w:vMerge w:val="restart"/>
          </w:tcPr>
          <w:p>
            <w:pPr>
              <w:jc w:val="center"/>
              <w:spacing w:after="0" w:line="122" w:lineRule="exact"/>
              <w:rPr>
                <w:sz w:val="20"/>
                <w:szCs w:val="20"/>
                <w:color w:val="auto"/>
              </w:rPr>
            </w:pPr>
            <w:r>
              <w:rPr>
                <w:rFonts w:ascii="Arial" w:cs="Arial" w:eastAsia="Arial" w:hAnsi="Arial"/>
                <w:sz w:val="13"/>
                <w:szCs w:val="13"/>
                <w:b w:val="1"/>
                <w:bCs w:val="1"/>
                <w:color w:val="auto"/>
                <w:w w:val="88"/>
              </w:rPr>
              <w:t>Accumulated Comprehensive</w:t>
            </w: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0" w:type="dxa"/>
            <w:vAlign w:val="bottom"/>
            <w:gridSpan w:val="2"/>
            <w:vMerge w:val="restart"/>
          </w:tcPr>
          <w:p>
            <w:pPr>
              <w:jc w:val="center"/>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4"/>
                <w:szCs w:val="4"/>
                <w:color w:val="auto"/>
              </w:rPr>
            </w:pPr>
          </w:p>
        </w:tc>
        <w:tc>
          <w:tcPr>
            <w:tcW w:w="700" w:type="dxa"/>
            <w:vAlign w:val="bottom"/>
            <w:vMerge w:val="restart"/>
          </w:tcPr>
          <w:p>
            <w:pPr>
              <w:jc w:val="center"/>
              <w:ind w:right="9"/>
              <w:spacing w:after="0" w:line="122" w:lineRule="exact"/>
              <w:rPr>
                <w:sz w:val="20"/>
                <w:szCs w:val="20"/>
                <w:color w:val="auto"/>
              </w:rPr>
            </w:pPr>
            <w:r>
              <w:rPr>
                <w:rFonts w:ascii="Arial" w:cs="Arial" w:eastAsia="Arial" w:hAnsi="Arial"/>
                <w:sz w:val="13"/>
                <w:szCs w:val="13"/>
                <w:b w:val="1"/>
                <w:bCs w:val="1"/>
                <w:color w:val="auto"/>
                <w:w w:val="87"/>
              </w:rPr>
              <w:t>members’</w:t>
            </w:r>
          </w:p>
        </w:tc>
        <w:tc>
          <w:tcPr>
            <w:tcW w:w="0" w:type="dxa"/>
            <w:vAlign w:val="bottom"/>
          </w:tcPr>
          <w:p>
            <w:pPr>
              <w:spacing w:after="0"/>
              <w:rPr>
                <w:sz w:val="1"/>
                <w:szCs w:val="1"/>
                <w:color w:val="auto"/>
              </w:rPr>
            </w:pPr>
          </w:p>
        </w:tc>
      </w:tr>
      <w:tr>
        <w:trPr>
          <w:trHeight w:val="48"/>
        </w:trPr>
        <w:tc>
          <w:tcPr>
            <w:tcW w:w="1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4"/>
                <w:szCs w:val="4"/>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w w:val="85"/>
              </w:rPr>
              <w:t>Amount</w:t>
            </w:r>
          </w:p>
        </w:tc>
        <w:tc>
          <w:tcPr>
            <w:tcW w:w="8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4"/>
                <w:szCs w:val="4"/>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4"/>
                <w:szCs w:val="4"/>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w w:val="93"/>
              </w:rPr>
              <w:t>Amount</w:t>
            </w: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10"/>
              <w:spacing w:after="0"/>
              <w:rPr>
                <w:sz w:val="20"/>
                <w:szCs w:val="20"/>
                <w:color w:val="auto"/>
              </w:rPr>
            </w:pPr>
            <w:r>
              <w:rPr>
                <w:rFonts w:ascii="Arial" w:cs="Arial" w:eastAsia="Arial" w:hAnsi="Arial"/>
                <w:sz w:val="13"/>
                <w:szCs w:val="13"/>
                <w:b w:val="1"/>
                <w:bCs w:val="1"/>
                <w:color w:val="auto"/>
              </w:rPr>
              <w:t>Equity</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contributions</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9"/>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Deficit</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89"/>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Pr>
          <w:p>
            <w:pPr>
              <w:spacing w:after="0"/>
              <w:rPr>
                <w:sz w:val="14"/>
                <w:szCs w:val="14"/>
                <w:color w:val="auto"/>
              </w:rPr>
            </w:pPr>
          </w:p>
        </w:tc>
        <w:tc>
          <w:tcPr>
            <w:tcW w:w="70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25"/>
        </w:trPr>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5"/>
              </w:rPr>
              <w:t>Balance at March</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54,143,275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5"/>
              </w:rPr>
              <w:t>117,173,390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289,428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(47,990)</w:t>
            </w: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484,020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725,457</w:t>
            </w: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31, 2022</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(19,347)</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(41,482)</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(60,829)</w:t>
            </w: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expense and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20"/>
              <w:spacing w:after="0"/>
              <w:rPr>
                <w:sz w:val="20"/>
                <w:szCs w:val="20"/>
                <w:color w:val="auto"/>
              </w:rPr>
            </w:pPr>
            <w:r>
              <w:rPr>
                <w:rFonts w:ascii="Arial" w:cs="Arial" w:eastAsia="Arial" w:hAnsi="Arial"/>
                <w:sz w:val="14"/>
                <w:szCs w:val="14"/>
                <w:color w:val="auto"/>
              </w:rPr>
              <w:t>related vesting</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1,427,662</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8,581</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8,581</w:t>
            </w: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class A common</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stock placed into</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(548,445)</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548,445</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(4,991)</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(4,991)</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treasury</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Effect of Siemens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Industry</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redemption of</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w w:val="95"/>
              </w:rPr>
              <w:t>class B-1 common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stock for class A</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58,586,695</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tcPr>
          <w:p>
            <w:pPr>
              <w:jc w:val="right"/>
              <w:spacing w:after="0"/>
              <w:rPr>
                <w:sz w:val="20"/>
                <w:szCs w:val="20"/>
                <w:color w:val="auto"/>
              </w:rPr>
            </w:pPr>
            <w:r>
              <w:rPr>
                <w:rFonts w:ascii="Arial" w:cs="Arial" w:eastAsia="Arial" w:hAnsi="Arial"/>
                <w:sz w:val="14"/>
                <w:szCs w:val="14"/>
                <w:color w:val="auto"/>
                <w:w w:val="95"/>
              </w:rPr>
              <w:t>(58,586,695)</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227,699</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(227,699)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Effect of</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remeasurement of</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interest due to</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other share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(3,805)</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Proceeds from</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exercise of stock</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503,220</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1,233</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comprehensive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gain subsequent to</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the Transactions,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of income tax</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 of $0</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28"/>
        </w:trPr>
        <w:tc>
          <w:tcPr>
            <w:tcW w:w="11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w w:val="97"/>
              </w:rPr>
              <w:t>Balance at June</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89"/>
              </w:rPr>
              <w:t>114,112,407</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58,586,695</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530,747</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(67,337)</w:t>
            </w:r>
          </w:p>
        </w:tc>
        <w:tc>
          <w:tcPr>
            <w:tcW w:w="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515</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548,445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(4,991)</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212,148</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671,083</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30, 2022</w:t>
            </w:r>
          </w:p>
        </w:tc>
        <w:tc>
          <w:tcPr>
            <w:tcW w:w="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Balance at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b w:val="1"/>
                <w:bCs w:val="1"/>
                <w:color w:val="auto"/>
              </w:rPr>
              <w:t>September 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117,235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106,152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(279,301)</w:t>
            </w: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(173,434)</w:t>
            </w: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Net loss prior to</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20"/>
              <w:spacing w:after="0"/>
              <w:rPr>
                <w:sz w:val="20"/>
                <w:szCs w:val="20"/>
                <w:color w:val="auto"/>
              </w:rPr>
            </w:pPr>
            <w:r>
              <w:rPr>
                <w:rFonts w:ascii="Arial" w:cs="Arial" w:eastAsia="Arial" w:hAnsi="Arial"/>
                <w:sz w:val="14"/>
                <w:szCs w:val="14"/>
                <w:color w:val="auto"/>
              </w:rPr>
              <w:t>the Transactions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(20,317)</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(20,317)</w:t>
            </w: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comprehensive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4"/>
              </w:rPr>
              <w:t>income prior to the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Transactions, net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 income tax</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of $0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Effect of the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6"/>
              </w:rPr>
              <w:t>(117,235)</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(106,152)</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9"/>
              </w:rPr>
              <w:t>18,493,275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5"/>
              </w:rPr>
              <w:t>117,173,390</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(24,091)</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279,301</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(31,899)</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117,235</w:t>
            </w: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related to the IPO</w:t>
            </w: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1"/>
              </w:rPr>
              <w:t>Issuance of class A</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common stock in</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IPO, net of</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costs</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35,650,000</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295,740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640,021</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935,761</w:t>
            </w: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w w:val="98"/>
              </w:rPr>
              <w:t>subsequent to the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(67,337)</w:t>
            </w: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(145,339)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(212,676)</w:t>
            </w: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expense and</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vesting</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1,427,662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26,360</w:t>
            </w: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Repurchase of</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stock placed into</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(548,445)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548,445</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(4,991)</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(4,991)</w:t>
            </w: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treasury</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Effect of Siemens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Industry</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redemption of</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class B-1 common</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stock for class A</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58,586,695</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(58,586,695)</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227,699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(227,699)</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Effect of</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w w:val="96"/>
              </w:rPr>
              <w:t>remeasurement of</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interest due to</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other share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3,806</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(3,805)</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Proceeds from</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exercise of stock</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503,220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w w:val="92"/>
              </w:rPr>
              <w:t>gain subsequent to</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40" w:type="dxa"/>
            <w:vAlign w:val="bottom"/>
          </w:tcPr>
          <w:p>
            <w:pPr>
              <w:ind w:left="20"/>
              <w:spacing w:after="0" w:line="141" w:lineRule="exact"/>
              <w:rPr>
                <w:sz w:val="20"/>
                <w:szCs w:val="20"/>
                <w:color w:val="auto"/>
              </w:rPr>
            </w:pPr>
            <w:r>
              <w:rPr>
                <w:rFonts w:ascii="Arial" w:cs="Arial" w:eastAsia="Arial" w:hAnsi="Arial"/>
                <w:sz w:val="14"/>
                <w:szCs w:val="14"/>
                <w:color w:val="auto"/>
              </w:rPr>
              <w:t>the Transactions,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
              <w:spacing w:after="0" w:line="143" w:lineRule="exact"/>
              <w:rPr>
                <w:sz w:val="20"/>
                <w:szCs w:val="20"/>
                <w:color w:val="auto"/>
              </w:rPr>
            </w:pPr>
            <w:r>
              <w:rPr>
                <w:rFonts w:ascii="Arial" w:cs="Arial" w:eastAsia="Arial" w:hAnsi="Arial"/>
                <w:sz w:val="14"/>
                <w:szCs w:val="14"/>
                <w:color w:val="auto"/>
              </w:rPr>
              <w:t>net of income tax</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rPr>
                <w:sz w:val="20"/>
                <w:szCs w:val="20"/>
                <w:color w:val="auto"/>
              </w:rPr>
            </w:pPr>
            <w:r>
              <w:rPr>
                <w:rFonts w:ascii="Arial" w:cs="Arial" w:eastAsia="Arial" w:hAnsi="Arial"/>
                <w:sz w:val="14"/>
                <w:szCs w:val="14"/>
                <w:color w:val="auto"/>
              </w:rPr>
              <w:t>benefit of $0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26"/>
        </w:trPr>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Balance at June</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114,112,407</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58,586,695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530,747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(67,337)</w:t>
            </w: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548,445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212,148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671,083</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30, 2022</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69"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69"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6"/>
                <w:szCs w:val="16"/>
                <w:b w:val="1"/>
                <w:bCs w:val="1"/>
                <w:color w:val="auto"/>
                <w:w w:val="98"/>
              </w:rPr>
              <w:t>Nine Months Ended June 30,</w:t>
            </w:r>
          </w:p>
        </w:tc>
      </w:tr>
      <w:tr>
        <w:trPr>
          <w:trHeight w:val="210"/>
        </w:trPr>
        <w:tc>
          <w:tcPr>
            <w:tcW w:w="8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2022</w:t>
            </w:r>
          </w:p>
        </w:tc>
      </w:tr>
      <w:tr>
        <w:trPr>
          <w:trHeight w:val="22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(109,636)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(232,992)</w:t>
            </w:r>
          </w:p>
        </w:tc>
      </w:tr>
      <w:tr>
        <w:trPr>
          <w:trHeight w:val="230"/>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4,892</w:t>
            </w:r>
          </w:p>
        </w:tc>
      </w:tr>
      <w:tr>
        <w:trPr>
          <w:trHeight w:val="236"/>
        </w:trPr>
        <w:tc>
          <w:tcPr>
            <w:tcW w:w="8400" w:type="dxa"/>
            <w:vAlign w:val="bottom"/>
            <w:shd w:val="clear" w:color="auto" w:fill="D2EDFE"/>
          </w:tcPr>
          <w:p>
            <w:pPr>
              <w:ind w:left="2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8400" w:type="dxa"/>
            <w:vAlign w:val="bottom"/>
          </w:tcPr>
          <w:p>
            <w:pPr>
              <w:ind w:left="240"/>
              <w:spacing w:after="0"/>
              <w:rPr>
                <w:sz w:val="20"/>
                <w:szCs w:val="20"/>
                <w:color w:val="auto"/>
              </w:rPr>
            </w:pPr>
            <w:r>
              <w:rPr>
                <w:rFonts w:ascii="Arial" w:cs="Arial" w:eastAsia="Arial" w:hAnsi="Arial"/>
                <w:sz w:val="18"/>
                <w:szCs w:val="18"/>
                <w:color w:val="auto"/>
              </w:rPr>
              <w:t>Inventory (benefit) provision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13,329</w:t>
            </w:r>
          </w:p>
        </w:tc>
      </w:tr>
      <w:tr>
        <w:trPr>
          <w:trHeight w:val="243"/>
        </w:trPr>
        <w:tc>
          <w:tcPr>
            <w:tcW w:w="8400" w:type="dxa"/>
            <w:vAlign w:val="bottom"/>
            <w:shd w:val="clear" w:color="auto" w:fill="D2EDFE"/>
          </w:tcPr>
          <w:p>
            <w:pPr>
              <w:ind w:left="2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21,440</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35,063</w:t>
            </w:r>
          </w:p>
        </w:tc>
      </w:tr>
      <w:tr>
        <w:trPr>
          <w:trHeight w:val="229"/>
        </w:trPr>
        <w:tc>
          <w:tcPr>
            <w:tcW w:w="84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D2EDFE"/>
          </w:tcPr>
          <w:p>
            <w:pPr>
              <w:ind w:left="240"/>
              <w:spacing w:after="0"/>
              <w:rPr>
                <w:sz w:val="20"/>
                <w:szCs w:val="20"/>
                <w:color w:val="auto"/>
              </w:rPr>
            </w:pPr>
            <w:r>
              <w:rPr>
                <w:rFonts w:ascii="Arial" w:cs="Arial" w:eastAsia="Arial" w:hAnsi="Arial"/>
                <w:sz w:val="18"/>
                <w:szCs w:val="18"/>
                <w:color w:val="auto"/>
              </w:rPr>
              <w:t>Provision (benefit) on loss contracts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(8,554)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2,282</w:t>
            </w: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(66,036)</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(46,343)</w:t>
            </w:r>
          </w:p>
        </w:tc>
      </w:tr>
      <w:tr>
        <w:trPr>
          <w:trHeight w:val="230"/>
        </w:trPr>
        <w:tc>
          <w:tcPr>
            <w:tcW w:w="8400" w:type="dxa"/>
            <w:vAlign w:val="bottom"/>
          </w:tcPr>
          <w:p>
            <w:pPr>
              <w:ind w:left="46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43"/>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Receivables from related parties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55,432</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(15,956)</w:t>
            </w:r>
          </w:p>
        </w:tc>
      </w:tr>
      <w:tr>
        <w:trPr>
          <w:trHeight w:val="230"/>
        </w:trPr>
        <w:tc>
          <w:tcPr>
            <w:tcW w:w="8400" w:type="dxa"/>
            <w:vAlign w:val="bottom"/>
          </w:tcPr>
          <w:p>
            <w:pPr>
              <w:ind w:left="460"/>
              <w:spacing w:after="0"/>
              <w:rPr>
                <w:sz w:val="20"/>
                <w:szCs w:val="20"/>
                <w:color w:val="auto"/>
              </w:rPr>
            </w:pPr>
            <w:r>
              <w:rPr>
                <w:rFonts w:ascii="Arial" w:cs="Arial" w:eastAsia="Arial" w:hAnsi="Arial"/>
                <w:sz w:val="18"/>
                <w:szCs w:val="18"/>
                <w:color w:val="auto"/>
              </w:rPr>
              <w:t>Advances to suppliers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(52,456)</w:t>
            </w:r>
          </w:p>
        </w:tc>
      </w:tr>
      <w:tr>
        <w:trPr>
          <w:trHeight w:val="229"/>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Inventory, net</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145,982</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(77,255)</w:t>
            </w:r>
          </w:p>
        </w:tc>
      </w:tr>
      <w:tr>
        <w:trPr>
          <w:trHeight w:val="237"/>
        </w:trPr>
        <w:tc>
          <w:tcPr>
            <w:tcW w:w="840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6"/>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(30,984)</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(17,556)</w:t>
            </w:r>
          </w:p>
        </w:tc>
      </w:tr>
      <w:tr>
        <w:trPr>
          <w:trHeight w:val="229"/>
        </w:trPr>
        <w:tc>
          <w:tcPr>
            <w:tcW w:w="84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68,154</w:t>
            </w:r>
          </w:p>
        </w:tc>
      </w:tr>
      <w:tr>
        <w:trPr>
          <w:trHeight w:val="243"/>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Payables and deferred revenue with related parties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(152,668)</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5,507</w:t>
            </w:r>
          </w:p>
        </w:tc>
      </w:tr>
      <w:tr>
        <w:trPr>
          <w:trHeight w:val="229"/>
        </w:trPr>
        <w:tc>
          <w:tcPr>
            <w:tcW w:w="840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298,986</w:t>
            </w:r>
          </w:p>
        </w:tc>
      </w:tr>
      <w:tr>
        <w:trPr>
          <w:trHeight w:val="230"/>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Current accruals and provisions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(78,225)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(53,016)</w:t>
            </w:r>
          </w:p>
        </w:tc>
      </w:tr>
      <w:tr>
        <w:trPr>
          <w:trHeight w:val="237"/>
        </w:trPr>
        <w:tc>
          <w:tcPr>
            <w:tcW w:w="8400" w:type="dxa"/>
            <w:vAlign w:val="bottom"/>
          </w:tcPr>
          <w:p>
            <w:pPr>
              <w:ind w:left="46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36"/>
        </w:trPr>
        <w:tc>
          <w:tcPr>
            <w:tcW w:w="8400" w:type="dxa"/>
            <w:vAlign w:val="bottom"/>
            <w:shd w:val="clear" w:color="auto" w:fill="D2EDFE"/>
          </w:tcPr>
          <w:p>
            <w:pPr>
              <w:ind w:left="46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24,593</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(1,669)</w:t>
            </w:r>
          </w:p>
        </w:tc>
      </w:tr>
      <w:tr>
        <w:trPr>
          <w:trHeight w:val="229"/>
        </w:trPr>
        <w:tc>
          <w:tcPr>
            <w:tcW w:w="8400" w:type="dxa"/>
            <w:vAlign w:val="bottom"/>
          </w:tcPr>
          <w:p>
            <w:pPr>
              <w:ind w:left="46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30"/>
        </w:trPr>
        <w:tc>
          <w:tcPr>
            <w:tcW w:w="8400" w:type="dxa"/>
            <w:vAlign w:val="bottom"/>
            <w:tcBorders>
              <w:bottom w:val="single" w:sz="8" w:color="D2EDFE"/>
            </w:tcBorders>
            <w:shd w:val="clear" w:color="auto" w:fill="D2EDFE"/>
          </w:tcPr>
          <w:p>
            <w:pPr>
              <w:ind w:left="460"/>
              <w:spacing w:after="0"/>
              <w:rPr>
                <w:sz w:val="20"/>
                <w:szCs w:val="20"/>
                <w:color w:val="auto"/>
              </w:rPr>
            </w:pPr>
            <w:r>
              <w:rPr>
                <w:rFonts w:ascii="Arial" w:cs="Arial" w:eastAsia="Arial" w:hAnsi="Arial"/>
                <w:sz w:val="18"/>
                <w:szCs w:val="18"/>
                <w:color w:val="auto"/>
              </w:rPr>
              <w:t>Insurance proceeds received</w:t>
            </w:r>
          </w:p>
        </w:tc>
        <w:tc>
          <w:tcPr>
            <w:tcW w:w="260" w:type="dxa"/>
            <w:vAlign w:val="bottom"/>
            <w:tcBorders>
              <w:bottom w:val="single" w:sz="8" w:color="auto"/>
            </w:tcBorders>
            <w:shd w:val="clear" w:color="auto" w:fill="D2EDFE"/>
          </w:tcPr>
          <w:p>
            <w:pPr>
              <w:spacing w:after="0"/>
              <w:rPr>
                <w:sz w:val="19"/>
                <w:szCs w:val="19"/>
                <w:color w:val="auto"/>
              </w:rPr>
            </w:pPr>
          </w:p>
        </w:tc>
        <w:tc>
          <w:tcPr>
            <w:tcW w:w="11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2EDFE"/>
            </w:tcBorders>
            <w:shd w:val="clear" w:color="auto" w:fill="D2EDFE"/>
          </w:tcPr>
          <w:p>
            <w:pPr>
              <w:spacing w:after="0"/>
              <w:rPr>
                <w:sz w:val="19"/>
                <w:szCs w:val="19"/>
                <w:color w:val="auto"/>
              </w:rPr>
            </w:pPr>
          </w:p>
        </w:tc>
        <w:tc>
          <w:tcPr>
            <w:tcW w:w="320" w:type="dxa"/>
            <w:vAlign w:val="bottom"/>
            <w:tcBorders>
              <w:bottom w:val="single" w:sz="8" w:color="auto"/>
            </w:tcBorders>
            <w:shd w:val="clear" w:color="auto" w:fill="D2EDFE"/>
          </w:tcPr>
          <w:p>
            <w:pPr>
              <w:spacing w:after="0"/>
              <w:rPr>
                <w:sz w:val="19"/>
                <w:szCs w:val="19"/>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10,000</w:t>
            </w:r>
          </w:p>
        </w:tc>
      </w:tr>
      <w:tr>
        <w:trPr>
          <w:trHeight w:val="232"/>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(160,487)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(60,943)</w:t>
            </w:r>
          </w:p>
        </w:tc>
      </w:tr>
      <w:tr>
        <w:trPr>
          <w:trHeight w:val="234"/>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spacing w:after="0"/>
              <w:rPr>
                <w:sz w:val="20"/>
                <w:szCs w:val="20"/>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Purchase of equity securities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4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Proceeds from maturities of short-term investments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111,674</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Payments for purchase of investment in joint venture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Capital expenditures on software</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(7,284)</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Payments for acquisition of businesses, net of cash acquired</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(29,215)</w:t>
            </w:r>
          </w:p>
        </w:tc>
      </w:tr>
      <w:tr>
        <w:trPr>
          <w:trHeight w:val="23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Borders>
              <w:bottom w:val="single" w:sz="8" w:color="auto"/>
            </w:tcBorders>
            <w:shd w:val="clear" w:color="auto" w:fill="D2EDFE"/>
          </w:tcPr>
          <w:p>
            <w:pPr>
              <w:spacing w:after="0"/>
              <w:rPr>
                <w:sz w:val="20"/>
                <w:szCs w:val="20"/>
                <w:color w:val="auto"/>
              </w:rPr>
            </w:pPr>
          </w:p>
        </w:tc>
        <w:tc>
          <w:tcPr>
            <w:tcW w:w="11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D2EDFE"/>
          </w:tcPr>
          <w:p>
            <w:pPr>
              <w:spacing w:after="0"/>
              <w:rPr>
                <w:sz w:val="20"/>
                <w:szCs w:val="20"/>
                <w:color w:val="auto"/>
              </w:rPr>
            </w:pPr>
          </w:p>
        </w:tc>
        <w:tc>
          <w:tcPr>
            <w:tcW w:w="320" w:type="dxa"/>
            <w:vAlign w:val="bottom"/>
            <w:tcBorders>
              <w:bottom w:val="single" w:sz="8" w:color="auto"/>
            </w:tcBorders>
            <w:shd w:val="clear" w:color="auto" w:fill="D2EDFE"/>
          </w:tcPr>
          <w:p>
            <w:pPr>
              <w:spacing w:after="0"/>
              <w:rPr>
                <w:sz w:val="20"/>
                <w:szCs w:val="20"/>
                <w:color w:val="auto"/>
              </w:rPr>
            </w:pPr>
          </w:p>
        </w:tc>
        <w:tc>
          <w:tcPr>
            <w:tcW w:w="10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(2,675)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(33,014)</w:t>
            </w:r>
          </w:p>
        </w:tc>
      </w:tr>
      <w:tr>
        <w:trPr>
          <w:trHeight w:val="230"/>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spacing w:after="0"/>
              <w:rPr>
                <w:sz w:val="19"/>
                <w:szCs w:val="19"/>
                <w:color w:val="auto"/>
              </w:rPr>
            </w:pP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w w:val="92"/>
              </w:rPr>
              <w:t>Proceeds from issuance of Class A common stock sold in an IPO, net of underwriting discounts and commissions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935,761</w:t>
            </w:r>
          </w:p>
        </w:tc>
      </w:tr>
      <w:tr>
        <w:trPr>
          <w:trHeight w:val="23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Repurchase of Class A common stock placed into treasury</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Payment of transaction cost related to issuance of Class B membership units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(6,320)</w:t>
            </w:r>
          </w:p>
        </w:tc>
      </w:tr>
      <w:tr>
        <w:trPr>
          <w:trHeight w:val="24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D2EDFE"/>
          </w:tcPr>
          <w:p>
            <w:pPr>
              <w:spacing w:after="0"/>
              <w:rPr>
                <w:sz w:val="21"/>
                <w:szCs w:val="21"/>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21"/>
                <w:szCs w:val="21"/>
                <w:color w:val="auto"/>
              </w:rPr>
            </w:pPr>
          </w:p>
        </w:tc>
        <w:tc>
          <w:tcPr>
            <w:tcW w:w="320" w:type="dxa"/>
            <w:vAlign w:val="bottom"/>
            <w:shd w:val="clear" w:color="auto" w:fill="D2EDFE"/>
          </w:tcPr>
          <w:p>
            <w:pPr>
              <w:spacing w:after="0"/>
              <w:rPr>
                <w:sz w:val="21"/>
                <w:szCs w:val="21"/>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(3,120)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Repayment of promissory notes – related parties</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Repayment of line of credit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Proceeds from borrowing against note receivable - pledged as collateral</w:t>
            </w:r>
          </w:p>
        </w:tc>
        <w:tc>
          <w:tcPr>
            <w:tcW w:w="260" w:type="dxa"/>
            <w:vAlign w:val="bottom"/>
            <w:shd w:val="clear" w:color="auto" w:fill="D2EDFE"/>
          </w:tcPr>
          <w:p>
            <w:pPr>
              <w:spacing w:after="0"/>
              <w:rPr>
                <w:sz w:val="20"/>
                <w:szCs w:val="20"/>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48,176</w:t>
            </w:r>
          </w:p>
        </w:tc>
        <w:tc>
          <w:tcPr>
            <w:tcW w:w="100" w:type="dxa"/>
            <w:vAlign w:val="bottom"/>
            <w:shd w:val="clear" w:color="auto" w:fill="D2EDFE"/>
          </w:tcPr>
          <w:p>
            <w:pPr>
              <w:spacing w:after="0"/>
              <w:rPr>
                <w:sz w:val="20"/>
                <w:szCs w:val="20"/>
                <w:color w:val="auto"/>
              </w:rPr>
            </w:pPr>
          </w:p>
        </w:tc>
        <w:tc>
          <w:tcPr>
            <w:tcW w:w="320" w:type="dxa"/>
            <w:vAlign w:val="bottom"/>
            <w:shd w:val="clear" w:color="auto" w:fill="D2EDFE"/>
          </w:tcPr>
          <w:p>
            <w:pPr>
              <w:spacing w:after="0"/>
              <w:rPr>
                <w:sz w:val="20"/>
                <w:szCs w:val="20"/>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Payments of deferred equity issuance costs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r>
      <w:tr>
        <w:trPr>
          <w:trHeight w:val="236"/>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shd w:val="clear" w:color="auto" w:fill="D2EDFE"/>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52,588</w:t>
            </w:r>
          </w:p>
        </w:tc>
        <w:tc>
          <w:tcPr>
            <w:tcW w:w="420" w:type="dxa"/>
            <w:vAlign w:val="bottom"/>
            <w:gridSpan w:val="2"/>
            <w:shd w:val="clear" w:color="auto" w:fill="D2EDFE"/>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815,460</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w:t>
            </w:r>
          </w:p>
        </w:tc>
      </w:tr>
      <w:tr>
        <w:trPr>
          <w:trHeight w:val="223"/>
        </w:trPr>
        <w:tc>
          <w:tcPr>
            <w:tcW w:w="8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6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shd w:val="clear" w:color="auto" w:fill="D2EDFE"/>
          </w:tcPr>
          <w:p>
            <w:pPr>
              <w:spacing w:after="0"/>
              <w:rPr>
                <w:sz w:val="19"/>
                <w:szCs w:val="19"/>
                <w:color w:val="auto"/>
              </w:rPr>
            </w:pPr>
          </w:p>
        </w:tc>
        <w:tc>
          <w:tcPr>
            <w:tcW w:w="3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723,976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429,721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38,068</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3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80" w:type="dxa"/>
            <w:vAlign w:val="bottom"/>
            <w:tcBorders>
              <w:top w:val="single" w:sz="8" w:color="0000FF"/>
            </w:tcBorders>
          </w:tcPr>
          <w:p>
            <w:pPr>
              <w:spacing w:after="0"/>
              <w:rPr>
                <w:sz w:val="24"/>
                <w:szCs w:val="24"/>
                <w:color w:val="auto"/>
              </w:rPr>
            </w:pPr>
          </w:p>
        </w:tc>
        <w:tc>
          <w:tcPr>
            <w:tcW w:w="7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8380" w:type="dxa"/>
            <w:vAlign w:val="bottom"/>
            <w:tcBorders>
              <w:bottom w:val="single" w:sz="8" w:color="D2EDFE"/>
            </w:tcBorders>
            <w:gridSpan w:val="2"/>
            <w:shd w:val="clear" w:color="auto" w:fill="D2EDFE"/>
          </w:tcPr>
          <w:p>
            <w:pPr>
              <w:ind w:left="20"/>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420" w:type="dxa"/>
            <w:vAlign w:val="bottom"/>
            <w:tcBorders>
              <w:bottom w:val="single" w:sz="8" w:color="auto"/>
            </w:tcBorders>
            <w:shd w:val="clear" w:color="auto" w:fill="D2EDFE"/>
          </w:tcPr>
          <w:p>
            <w:pPr>
              <w:spacing w:after="0"/>
              <w:rPr>
                <w:sz w:val="21"/>
                <w:szCs w:val="21"/>
                <w:color w:val="auto"/>
              </w:rPr>
            </w:pPr>
          </w:p>
        </w:tc>
        <w:tc>
          <w:tcPr>
            <w:tcW w:w="9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416,096</w:t>
            </w:r>
          </w:p>
        </w:tc>
        <w:tc>
          <w:tcPr>
            <w:tcW w:w="100" w:type="dxa"/>
            <w:vAlign w:val="bottom"/>
            <w:tcBorders>
              <w:bottom w:val="single" w:sz="8" w:color="D2EDFE"/>
            </w:tcBorders>
            <w:shd w:val="clear" w:color="auto" w:fill="D2EDFE"/>
          </w:tcPr>
          <w:p>
            <w:pPr>
              <w:spacing w:after="0"/>
              <w:rPr>
                <w:sz w:val="21"/>
                <w:szCs w:val="21"/>
                <w:color w:val="auto"/>
              </w:rPr>
            </w:pPr>
          </w:p>
        </w:tc>
        <w:tc>
          <w:tcPr>
            <w:tcW w:w="420" w:type="dxa"/>
            <w:vAlign w:val="bottom"/>
            <w:tcBorders>
              <w:bottom w:val="single" w:sz="8" w:color="auto"/>
            </w:tcBorders>
            <w:shd w:val="clear" w:color="auto" w:fill="D2EDFE"/>
          </w:tcPr>
          <w:p>
            <w:pPr>
              <w:spacing w:after="0"/>
              <w:rPr>
                <w:sz w:val="21"/>
                <w:szCs w:val="21"/>
                <w:color w:val="auto"/>
              </w:rPr>
            </w:pPr>
          </w:p>
        </w:tc>
        <w:tc>
          <w:tcPr>
            <w:tcW w:w="9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762,044</w:t>
            </w:r>
          </w:p>
        </w:tc>
        <w:tc>
          <w:tcPr>
            <w:tcW w:w="0" w:type="dxa"/>
            <w:vAlign w:val="bottom"/>
          </w:tcPr>
          <w:p>
            <w:pPr>
              <w:spacing w:after="0"/>
              <w:rPr>
                <w:sz w:val="1"/>
                <w:szCs w:val="1"/>
                <w:color w:val="auto"/>
              </w:rPr>
            </w:pPr>
          </w:p>
        </w:tc>
      </w:tr>
      <w:tr>
        <w:trPr>
          <w:trHeight w:val="20"/>
        </w:trPr>
        <w:tc>
          <w:tcPr>
            <w:tcW w:w="8380" w:type="dxa"/>
            <w:vAlign w:val="bottom"/>
            <w:tcBorders>
              <w:top w:val="single" w:sz="8" w:color="D2EDFE"/>
              <w:bottom w:val="single" w:sz="8" w:color="D2EDFE"/>
            </w:tcBorders>
            <w:gridSpan w:val="2"/>
            <w:vMerge w:val="restart"/>
          </w:tcPr>
          <w:p>
            <w:pPr>
              <w:ind w:left="20"/>
              <w:spacing w:after="0"/>
              <w:rPr>
                <w:sz w:val="20"/>
                <w:szCs w:val="20"/>
                <w:color w:val="auto"/>
              </w:rPr>
            </w:pPr>
            <w:r>
              <w:rPr>
                <w:rFonts w:ascii="Arial" w:cs="Arial" w:eastAsia="Arial" w:hAnsi="Arial"/>
                <w:sz w:val="18"/>
                <w:szCs w:val="18"/>
                <w:b w:val="1"/>
                <w:bCs w:val="1"/>
                <w:color w:val="auto"/>
              </w:rPr>
              <w:t>Supplemental Cash Flows Information</w:t>
            </w:r>
          </w:p>
        </w:tc>
        <w:tc>
          <w:tcPr>
            <w:tcW w:w="420" w:type="dxa"/>
            <w:vAlign w:val="bottom"/>
            <w:tcBorders>
              <w:top w:val="single" w:sz="8" w:color="D2EDFE"/>
              <w:bottom w:val="single" w:sz="8" w:color="auto"/>
            </w:tcBorders>
          </w:tcPr>
          <w:p>
            <w:pPr>
              <w:spacing w:after="0" w:line="20" w:lineRule="exact"/>
              <w:rPr>
                <w:sz w:val="1"/>
                <w:szCs w:val="1"/>
                <w:color w:val="auto"/>
              </w:rPr>
            </w:pPr>
          </w:p>
        </w:tc>
        <w:tc>
          <w:tcPr>
            <w:tcW w:w="96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420" w:type="dxa"/>
            <w:vAlign w:val="bottom"/>
            <w:tcBorders>
              <w:top w:val="single" w:sz="8" w:color="D2EDFE"/>
              <w:bottom w:val="single" w:sz="8" w:color="auto"/>
            </w:tcBorders>
          </w:tcPr>
          <w:p>
            <w:pPr>
              <w:spacing w:after="0" w:line="20" w:lineRule="exact"/>
              <w:rPr>
                <w:sz w:val="1"/>
                <w:szCs w:val="1"/>
                <w:color w:val="auto"/>
              </w:rPr>
            </w:pPr>
          </w:p>
        </w:tc>
        <w:tc>
          <w:tcPr>
            <w:tcW w:w="96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8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Interest paid</w:t>
            </w:r>
          </w:p>
        </w:tc>
        <w:tc>
          <w:tcPr>
            <w:tcW w:w="420" w:type="dxa"/>
            <w:vAlign w:val="bottom"/>
            <w:shd w:val="clear" w:color="auto" w:fill="D2EDFE"/>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955</w:t>
            </w:r>
          </w:p>
        </w:tc>
        <w:tc>
          <w:tcPr>
            <w:tcW w:w="520" w:type="dxa"/>
            <w:vAlign w:val="bottom"/>
            <w:gridSpan w:val="2"/>
            <w:shd w:val="clear" w:color="auto" w:fill="D2EDFE"/>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Cash paid for income taxes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Upon the completion of our initial public offering (“IPO”) on November 1, 2021, Fluence Energy, Inc. became a holding company whose sole material assets are the limited liability company interests (the “LLC Interests”) in Fluence Energy, LLC. All of our business is conducted through Fluence Energy, LLC, together with its subsidiaries, and the financial results of Fluence Energy, LLC will be consolidated in our financial statements. Fluence Energy, LLC is taxed as a partnership for federal income tax purposes and, as a result, its members, including Fluence Energy, Inc., will pay income taxes with respect to their allocable shares of its net taxable income. As of June 30, 2023, Fluence Energy, LLC had subsidiaries operating in Germany, Australia, Philippines, Chile, the Netherlands, the United States, India, Singapore, United Kingdom, Canada, and Switzerland. Except where the context clearly indicates otherwise, “Fluence,” “we,” “us,” “our” or the “Company” refers to Fluence Energy, Inc. and all of its direct and indirect subsidiaries, including Fluence Energy, LLC. When used in a historical context that is prior to the completion of the IPO, “we,” “us,” “our” or “the Company” refers to Fluence Energy, LLC and its subsidiaries.</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fiscal year begins on October 1 and ends on September 30. References to “fiscal year 2021” and “fiscal year 2022” refer to the fiscal years ended September 30, 2021 and September 30, 2022, respectively.</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condensed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Fluence Energy, Inc. beneficially owns a 66.88% interest as of June 30, 2023. For accounting purposes, Fluence Energy, Inc. is considered the primary beneficiary and therefore consolidates the results of Fluence Energy, LLC and its direct and indirect subsidiaries. Prior to the IPO, Fluence Energy, Inc. had no operations and had no assets or liabilities. Accordingly, financial results, balances, and other information included herein for periods prior to the IPO are reflective of Fluence Energy, LLC. The table below summarizes the ownership structure at end of each respective period:</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7720" w:type="dxa"/>
            <w:vAlign w:val="bottom"/>
            <w:tcBorders>
              <w:top w:val="single" w:sz="8" w:color="auto"/>
              <w:bottom w:val="single" w:sz="8" w:color="auto"/>
            </w:tcBorders>
          </w:tcPr>
          <w:p>
            <w:pPr>
              <w:ind w:left="6660"/>
              <w:spacing w:after="0"/>
              <w:rPr>
                <w:sz w:val="20"/>
                <w:szCs w:val="20"/>
                <w:color w:val="auto"/>
              </w:rPr>
            </w:pPr>
            <w:r>
              <w:rPr>
                <w:rFonts w:ascii="Arial" w:cs="Arial" w:eastAsia="Arial" w:hAnsi="Arial"/>
                <w:sz w:val="18"/>
                <w:szCs w:val="18"/>
                <w:b w:val="1"/>
                <w:bCs w:val="1"/>
                <w:color w:val="auto"/>
                <w:w w:val="88"/>
              </w:rPr>
              <w:t>June 30, 2023</w:t>
            </w:r>
          </w:p>
        </w:tc>
        <w:tc>
          <w:tcPr>
            <w:tcW w:w="90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2022</w:t>
            </w:r>
          </w:p>
        </w:tc>
      </w:tr>
      <w:tr>
        <w:trPr>
          <w:trHeight w:val="22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 Ownership</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0"/>
              </w:rPr>
              <w:t>66.88 %</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66.22 %</w:t>
            </w:r>
          </w:p>
        </w:tc>
      </w:tr>
      <w:tr>
        <w:trPr>
          <w:trHeight w:val="23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Ownership (AES)</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0"/>
              </w:rPr>
              <w:t>33.12 %</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as of June 30, 2023, and for the three and nine months ended June 30, 2023 and 2022 are unaudited. These financial statements should be read in conjunction with the Company’s audited financial statements included in our 2022 Annual Report. In our opinion, such unaudited financial statements reflect all adjustments, including normal recurring items, that are necessary for the fair statement of the Company’s financial position as of June 30, 2023, the results of its operations for the three and nine months ended June 30, 2023 and 2022, and its cash flows for the nine months ended June 30, 2023 and 2022. The financial data and other information disclosed in these notes related to the three and nine months ended June 30, 2023 and 2022 are also unaudited. The results for the three and nine months ended June 30, 2023 and 2022 are not necessarily indicative of results for the full year ending September 30, 2023 and 2022, any other interim periods, or any future year or period. The balance sheet as of September 30, 2022 included herein was derived from the audited financial statements as of that date. Certain disclosures have been condensed or omitted from the interim financial statements.</w:t>
      </w:r>
    </w:p>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a complete description of our significant accounting policies, refer to Note 2 - </w:t>
      </w:r>
      <w:r>
        <w:rPr>
          <w:rFonts w:ascii="Arial" w:cs="Arial" w:eastAsia="Arial" w:hAnsi="Arial"/>
          <w:sz w:val="17"/>
          <w:szCs w:val="17"/>
          <w:i w:val="1"/>
          <w:iCs w:val="1"/>
          <w:color w:val="auto"/>
        </w:rPr>
        <w:t>Summary of Significant Accounting Policies and Estimates</w:t>
      </w:r>
      <w:r>
        <w:rPr>
          <w:rFonts w:ascii="Arial" w:cs="Arial" w:eastAsia="Arial" w:hAnsi="Arial"/>
          <w:sz w:val="17"/>
          <w:szCs w:val="17"/>
          <w:color w:val="auto"/>
        </w:rPr>
        <w:t xml:space="preserve"> in the audited consolidated financial statements included in our 2022 Annual Report. We include herein certain updates to those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percentage-of-completion method; accrued bonuses; and various project-related provisions including but not limited to estimated losses, warranty obligations, and liquidated damages.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as a separate line item on the Company’s consolidated balance sheets.</w:t>
      </w:r>
    </w:p>
    <w:p>
      <w:pPr>
        <w:spacing w:after="0" w:line="9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Company typically retains cash for operations within one or more bank accounts. These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at the end of each respective period as shown in the Company’s condensed 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2022</w:t>
            </w:r>
          </w:p>
        </w:tc>
      </w:tr>
      <w:tr>
        <w:trPr>
          <w:trHeight w:val="23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108,387</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62,425</w:t>
            </w:r>
          </w:p>
        </w:tc>
      </w:tr>
      <w:tr>
        <w:trPr>
          <w:trHeight w:val="229"/>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429,721</w:t>
            </w:r>
          </w:p>
        </w:tc>
      </w:tr>
      <w:tr>
        <w:trPr>
          <w:trHeight w:val="27"/>
        </w:trPr>
        <w:tc>
          <w:tcPr>
            <w:tcW w:w="6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439"/>
        </w:trPr>
        <w:tc>
          <w:tcPr>
            <w:tcW w:w="6820" w:type="dxa"/>
            <w:vAlign w:val="bottom"/>
          </w:tcPr>
          <w:p>
            <w:pPr>
              <w:ind w:left="340"/>
              <w:spacing w:after="0"/>
              <w:rPr>
                <w:sz w:val="20"/>
                <w:szCs w:val="20"/>
                <w:color w:val="auto"/>
              </w:rPr>
            </w:pPr>
            <w:r>
              <w:rPr>
                <w:rFonts w:ascii="Arial" w:cs="Arial" w:eastAsia="Arial" w:hAnsi="Arial"/>
                <w:sz w:val="18"/>
                <w:szCs w:val="18"/>
                <w:color w:val="auto"/>
              </w:rPr>
              <w:t>Restricted cash at the end of each respective period consisted of the following:</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8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2022</w:t>
            </w:r>
          </w:p>
        </w:tc>
      </w:tr>
      <w:tr>
        <w:trPr>
          <w:trHeight w:val="37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credit card program</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Collateral for outstanding bank guarantees</w:t>
            </w:r>
          </w:p>
        </w:tc>
        <w:tc>
          <w:tcPr>
            <w:tcW w:w="1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106,043</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60,845</w:t>
            </w:r>
          </w:p>
        </w:tc>
      </w:tr>
      <w:tr>
        <w:trPr>
          <w:trHeight w:val="230"/>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Collateral for surety program included in “Other non-current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restricted cash</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72,425</w:t>
            </w:r>
          </w:p>
        </w:tc>
      </w:tr>
      <w:tr>
        <w:trPr>
          <w:trHeight w:val="27"/>
        </w:trPr>
        <w:tc>
          <w:tcPr>
            <w:tcW w:w="6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revenue recognition policy included herein is based on the application of Accounting Standards Codification - Revenue from Contracts with Customers (ASC 606). As of June 30, 2023, the Company’s revenue was generated primarily from the sale of energy storage products and solutions, providing operational services, and digital applications and solutions.</w:t>
      </w:r>
    </w:p>
    <w:p>
      <w:pPr>
        <w:spacing w:after="0" w:line="1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Revenue from Energy Storage Products and Solutions: </w:t>
      </w:r>
      <w:r>
        <w:rPr>
          <w:rFonts w:ascii="Arial" w:cs="Arial" w:eastAsia="Arial" w:hAnsi="Arial"/>
          <w:sz w:val="17"/>
          <w:szCs w:val="17"/>
          <w:color w:val="auto"/>
        </w:rPr>
        <w:t>The Company enters into contracts with utility companies, developers, and commercial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industrial customers to design, advise on, and build battery-based energy storage products and solutions. Each energy storage product and/or solution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energy storage products and solutions are determined to have one performance obligation. The Company believes that the prices negotiated with each individual customer are representative of the stand-alone selling price of the product.</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over time as a result of the continuous transfer of control of our product to the customer. This continuous transfer of control to the customer is supported by clauses in the underlying contracts that provide enforceable rights to payment of the transaction price associated with work performed to date for products that do not have an alternative use to the Company and/or the project is built on a customer’s land that is under the customer’s control.</w:t>
      </w:r>
    </w:p>
    <w:p>
      <w:pPr>
        <w:spacing w:after="0" w:line="11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Revenue for these performance obligations is recognized using the percentage-of-completion method based on cost incurred as a percentage of total estimated contract costs. Standard inventory materials that could be used interchangeably on other projects are included in our measure of progress when they are integrated into, or restricted to, the production of the customer’s project.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w:t>
      </w:r>
      <w:r>
        <w:rPr>
          <w:rFonts w:ascii="Arial" w:cs="Arial" w:eastAsia="Arial" w:hAnsi="Arial"/>
          <w:sz w:val="16"/>
          <w:szCs w:val="16"/>
          <w:i w:val="1"/>
          <w:iCs w:val="1"/>
          <w:color w:val="auto"/>
        </w:rPr>
        <w:t>“Loss Contracts”</w:t>
      </w:r>
      <w:r>
        <w:rPr>
          <w:rFonts w:ascii="Arial" w:cs="Arial" w:eastAsia="Arial" w:hAnsi="Arial"/>
          <w:sz w:val="16"/>
          <w:szCs w:val="16"/>
          <w:color w:val="auto"/>
        </w:rPr>
        <w:t xml:space="preserve"> below for further discussion.</w:t>
      </w:r>
    </w:p>
    <w:p>
      <w:pPr>
        <w:spacing w:after="0" w:line="9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contracts generally provide our customers the right to liquidated damages (“LDs”) against Fluence in the event specified milestones are not met on time or equipment is not delivered according to contract specifications. LDs are accounted for as variable consideration, and the contract price is reduced by the expected penalty or LD amount when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contractual performance specifications. The existence and measurement of liquidated damages may also be impacted by our judgments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w:t>
      </w:r>
    </w:p>
    <w:p>
      <w:pPr>
        <w:spacing w:after="0" w:line="8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At times Fluence will incur additional costs to execute on the performance of a contract. When this happens, we typically attempt to recover the revenue associated with these costs via a negotiated claim or change order with the customer. When this fact pattern occurs, it will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For the three and nine-months ended June 30, 2023, we recognized revenue of approximately $1.8 million and $26.1 million, respectively, on price increase change orders during the period in which the performance obligations were substantially satisfied in previous periods.</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i w:val="1"/>
          <w:iCs w:val="1"/>
          <w:color w:val="auto"/>
        </w:rPr>
        <w:t xml:space="preserve">Revenue from Services: </w:t>
      </w:r>
      <w:r>
        <w:rPr>
          <w:rFonts w:ascii="Arial" w:cs="Arial" w:eastAsia="Arial" w:hAnsi="Arial"/>
          <w:sz w:val="17"/>
          <w:szCs w:val="17"/>
          <w:color w:val="auto"/>
        </w:rPr>
        <w:t>The Company also enters into long-term service agreements with customers to provide operational services related to battery-based energy storage products and solutions. The services include maintenance, monitoring, and other minor services. The Company accounts for the services as a single performance obligation as the services are substantially the same and have the same pattern of transfer to the customers. We recognize revenue over time using a straight-line recognition method for these types of services. The Company believes using a time-based method to measure progress is appropriate as the performance obligations are satisfied evenly over time based on the fact that customers receive the services evenly. Revenue is recognized by dividing the total transaction price over the service period.</w:t>
      </w:r>
    </w:p>
    <w:p>
      <w:pPr>
        <w:spacing w:after="0" w:line="9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 for a given term are considered service-type warranties. These represent a stand-ready obligation in which the customer benefits evenly over time, and we thus recognize revenue for these arrangements using a straight-line recognition method. Alternatively, augmentation arrangements that require us to perform a fixed number of augmentations over a contract term follow the percentage-of-completion revenue recognition method. Since these arrangements require a fixed number of augmentations be performed, we use the pattern of cost as a proxy to identify when our obligations are satisfied and to recognize revenue.</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Revenue from Digital Applications and Solutions: </w:t>
      </w:r>
      <w:r>
        <w:rPr>
          <w:rFonts w:ascii="Arial" w:cs="Arial" w:eastAsia="Arial" w:hAnsi="Arial"/>
          <w:sz w:val="18"/>
          <w:szCs w:val="18"/>
          <w:color w:val="auto"/>
        </w:rPr>
        <w:t>In October 2020, Fluence Energy, LLC acquired the Advanced Microgrid Solutions (“AMS”)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and digital intelligence platform, which became the Fluence Trading Platform. In April 2022, the Company acquired Nispera AG, a Zurich based provider of artificial intelligence (AI) and machine learning-enabled Software-as-a-Service (SaaS) targeting the renewable energy sector. Contracts involving the Fluence Trading Platform are generally entered into with commercial entities that control utility-scale storage and renewable generation assets. Fluence Trading Platform arrangements consist of a promise to provide access to proprietary cloud-based Software-as-a-Service to promote enhanced financial returns on the utility-scale storage and renewable generation assets. The Fluence Trading Platform is a hosted service that delivers automated, market-compliant bids to local electricity market operators. Customers do not receive legal title or ownership of the software as a result of these arrangements.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Fluence Trading Platform is technology and vendor-agnostic (i.e., it can be utilized for wind and solar assets as well as non-Fluence systems). The Fluence Trading Platform is separately identifiable from other services that the Company offers to its customers (i.e., it is not highly interrelated or integrated with other solutions). As such, we determined that the Fluence Trading Platform is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sale of energy storage products, services, and digital applications and solutions contracts where there are multiple performance obligations in a single contract, the Company allocates the consideration to the various obligations in the contract based on the relative standalone selling price method. Standalone selling prices are estimated based on estimated costs plus margin. Revenue is recorded net of any taxes assessed on and collected from customers, which are remitted to the governmental authorities.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Cost of Goods and Services: </w:t>
      </w:r>
      <w:r>
        <w:rPr>
          <w:rFonts w:ascii="Arial" w:cs="Arial" w:eastAsia="Arial" w:hAnsi="Arial"/>
          <w:sz w:val="17"/>
          <w:szCs w:val="17"/>
          <w:color w:val="auto"/>
        </w:rPr>
        <w:t>Cost of goods and services consists primarily of product costs, including purchased materials and supplies,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the customer’s project.</w:t>
      </w:r>
    </w:p>
    <w:p>
      <w:pPr>
        <w:spacing w:after="0" w:line="1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Deferred Revenue: </w:t>
      </w:r>
      <w:r>
        <w:rPr>
          <w:rFonts w:ascii="Arial" w:cs="Arial" w:eastAsia="Arial" w:hAnsi="Arial"/>
          <w:sz w:val="17"/>
          <w:szCs w:val="17"/>
          <w:color w:val="auto"/>
        </w:rPr>
        <w:t>Deferred revenue represents the excess billings to date over the amount of revenue recognized to date. Contract advances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received by the Company upon signing of the related contracts with customers. The advances are offset proportionately against progress billings. Any outstanding portion is included in deferred revenue on the accompanying consolidated balance sheets.</w:t>
      </w:r>
    </w:p>
    <w:p>
      <w:pPr>
        <w:spacing w:after="0" w:line="12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7"/>
          <w:szCs w:val="17"/>
          <w:b w:val="1"/>
          <w:bCs w:val="1"/>
          <w:i w:val="1"/>
          <w:iCs w:val="1"/>
          <w:color w:val="auto"/>
        </w:rPr>
        <w:t xml:space="preserve">Loss Contracts: </w:t>
      </w:r>
      <w:r>
        <w:rPr>
          <w:rFonts w:ascii="Arial" w:cs="Arial" w:eastAsia="Arial" w:hAnsi="Arial"/>
          <w:sz w:val="17"/>
          <w:szCs w:val="17"/>
          <w:color w:val="auto"/>
        </w:rPr>
        <w:t>A contract becomes a loss contract when its estimated total costs are expected to exceed its total revenue. The Company accrues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 loss expected in the period a loss contract is identified in “Current liabilities — Accruals and provisions” and “Cost of goods and services” on the Company’s consolidated balance sheets and consolidated statements of operations and comprehensive loss,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Net</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Inventory consists of batteries and equipment, cases,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market conditions.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software development costs primarily relate to two categories: 1) internal-use software development costs, and 2) external-use software development costs. We capitalize costs incurred to purchase or develop software for internal use, and software to be sold or leased externally.</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Internal-use software development costs are capitalized during the application development stage in accordance with ASC 350-40, Internal-Use Software. These capitalized costs are reflected in “Intangible Assets, Net” on the consolidated balance sheets and are amortized over the estimated useful life of the software. Our internal-use software relates to our SaaS customer offerings and is amortized to cost of goods and services. The useful life of our internal-use software development costs is generally 3 years.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June 30, 2023, the Company capitalized $5.5 million, and in the comparable periods of the prior year $0.0 million, of internal use software.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External-use software development costs developed to be sold or leased externally are capitalized upon the establishment of technological feasibility for a product in accordance with ASC 985-20, Software to be Sold or Leased Externally. These software development costs are reflected in “Intangible Assets, Net” on our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spacing w:after="0" w:line="1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June 30, 2023, the Company capitalized $1.8 million, and in the comparable periods of the prior year $0.0 million, of external-use software to be sold.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is used to classify assets and liabilities based on the observable inputs and unobservable inputs used to value the assets and liabilities: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include term deposits with original maturity of less than 90 days and are recorded at amortized cost. Fair value of cash equivalents approximates the carrying amount. The carrying amounts of trade receivables, accounts payable and short-term debt obligations approximate fair values due to their short maturities.</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Short-term Investments and Marketable Securities: We obtain pricing from Level 1 inputs which includes information from quoted market prices, pricing vendors or quotes from brokers/dealers. We conduct reviews of our primary pricing vendors to determine whether the inputs used in the vendor’s pricing processes are deemed to be observable. The fair value of U.S. Treasury securities and government-related securities, corporate bonds and notes and common stock is generally determined using standard observable inputs, including reported trades, quoted market prices, matrix pricing, benchmark yields, broker/dealer quotes, issuer spreads, two-sided markets and/or benchmark securities. Marketable securities are presented on the balance sheets at fair value at the end of each reporting period. Gains and losses resulting from the change in fair value of these securities is included in “</w:t>
      </w:r>
      <w:r>
        <w:rPr>
          <w:rFonts w:ascii="Arial" w:cs="Arial" w:eastAsia="Arial" w:hAnsi="Arial"/>
          <w:sz w:val="16"/>
          <w:szCs w:val="16"/>
          <w:i w:val="1"/>
          <w:iCs w:val="1"/>
          <w:color w:val="auto"/>
        </w:rPr>
        <w:t>Other Income</w:t>
      </w:r>
      <w:r>
        <w:rPr>
          <w:rFonts w:ascii="Arial" w:cs="Arial" w:eastAsia="Arial" w:hAnsi="Arial"/>
          <w:sz w:val="16"/>
          <w:szCs w:val="16"/>
          <w:color w:val="auto"/>
        </w:rPr>
        <w:t>” in the accompanying statements of operations. The table below represents activity on the investments for the three and nine month periods ended June 30,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jc w:val="right"/>
              <w:ind w:right="393"/>
              <w:spacing w:after="0" w:line="175" w:lineRule="exact"/>
              <w:rPr>
                <w:sz w:val="20"/>
                <w:szCs w:val="20"/>
                <w:color w:val="auto"/>
              </w:rPr>
            </w:pPr>
            <w:r>
              <w:rPr>
                <w:rFonts w:ascii="Arial" w:cs="Arial" w:eastAsia="Arial" w:hAnsi="Arial"/>
                <w:sz w:val="16"/>
                <w:szCs w:val="16"/>
                <w:b w:val="1"/>
                <w:bCs w:val="1"/>
                <w:color w:val="auto"/>
              </w:rPr>
              <w:t>Three Months Ended</w:t>
            </w:r>
          </w:p>
        </w:tc>
        <w:tc>
          <w:tcPr>
            <w:tcW w:w="36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jc w:val="right"/>
              <w:ind w:right="393"/>
              <w:spacing w:after="0" w:line="175"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June 30, 2023</w:t>
            </w: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70,023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Contributions / (withdrawals)</w:t>
            </w:r>
          </w:p>
        </w:tc>
        <w:tc>
          <w:tcPr>
            <w:tcW w:w="24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(70,071)</w:t>
            </w:r>
          </w:p>
        </w:tc>
        <w:tc>
          <w:tcPr>
            <w:tcW w:w="3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(111,674)</w:t>
            </w:r>
          </w:p>
        </w:tc>
        <w:tc>
          <w:tcPr>
            <w:tcW w:w="0" w:type="dxa"/>
            <w:vAlign w:val="bottom"/>
          </w:tcPr>
          <w:p>
            <w:pPr>
              <w:spacing w:after="0"/>
              <w:rPr>
                <w:sz w:val="1"/>
                <w:szCs w:val="1"/>
                <w:color w:val="auto"/>
              </w:rPr>
            </w:pPr>
          </w:p>
        </w:tc>
      </w:tr>
      <w:tr>
        <w:trPr>
          <w:trHeight w:val="222"/>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Changes in fair market value</w:t>
            </w:r>
          </w:p>
        </w:tc>
        <w:tc>
          <w:tcPr>
            <w:tcW w:w="24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2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(“SCF Bank”). This program allows us to seek extended payment terms with our suppliers and allows our suppliers to monetize their receivables prior to the payment due date, subject to a discount. Once a supplier elects to participate in the program and reaches an agreement with SCF Bank, the supplier chooses which individual invoices to sell to the SCF Bank. We then pay SCF Bank on the invoice due date. We have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As of June 30, 2023, AES and Siemens issued guarantees of $50 million each, for a total of $100 million, to SCF Bank on our behalf.</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three suppliers were actively participating in the supply chain financing program, and we had $17.3 million of payables outstanding subject to the program. All outstanding payments owed under the program are recorded within “Accounts payable” on the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2023, the Company’s amended and restated certificate of incorporation authorizes three classes of common stock: Class A, Class B-1 and Class B-2. Loss per share is calculated and reported under the “two-class” method. The “two-class” method is an earnings allocation method under which earnings (loss) per share is calculated for each class of common stock considering both distributions declared or accumulated and participation rights in undistributed earnings as if all such loss had been distributed during the period.</w:t>
      </w:r>
    </w:p>
    <w:p>
      <w:pPr>
        <w:spacing w:after="0" w:line="10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 stock are not entitled to receive any distributions or dividends. When a common unit of Fluence Energy, LLC is redeemed, at the Company’s election, for cash or Class A common stock by a Founder who holds shares of our Class B-1 or Class B-2 common stock, as applicable,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potentially dilutive securities that were excluded from the computation of diluted loss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top w:val="single" w:sz="8" w:color="auto"/>
            </w:tcBorders>
          </w:tcPr>
          <w:p>
            <w:pPr>
              <w:spacing w:after="0"/>
              <w:rPr>
                <w:sz w:val="20"/>
                <w:szCs w:val="20"/>
                <w:color w:val="auto"/>
              </w:rPr>
            </w:pPr>
          </w:p>
        </w:tc>
        <w:tc>
          <w:tcPr>
            <w:tcW w:w="4020" w:type="dxa"/>
            <w:vAlign w:val="bottom"/>
            <w:tcBorders>
              <w:top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rPr>
              <w:t>Three Months Ended June 30,</w:t>
            </w:r>
          </w:p>
        </w:tc>
        <w:tc>
          <w:tcPr>
            <w:tcW w:w="3260" w:type="dxa"/>
            <w:vAlign w:val="bottom"/>
            <w:tcBorders>
              <w:top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Nine Months Ended June 30,</w:t>
            </w:r>
          </w:p>
        </w:tc>
      </w:tr>
      <w:tr>
        <w:trPr>
          <w:trHeight w:val="234"/>
        </w:trPr>
        <w:tc>
          <w:tcPr>
            <w:tcW w:w="39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2023</w:t>
            </w:r>
          </w:p>
        </w:tc>
        <w:tc>
          <w:tcPr>
            <w:tcW w:w="1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2022</w:t>
            </w:r>
          </w:p>
        </w:tc>
        <w:tc>
          <w:tcPr>
            <w:tcW w:w="18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3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B-1 common stock</w:t>
            </w:r>
          </w:p>
        </w:tc>
        <w:tc>
          <w:tcPr>
            <w:tcW w:w="2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58,586,695</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58,586,695</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58,586,695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58,586,695</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Outstanding stock options</w:t>
            </w:r>
          </w:p>
        </w:tc>
        <w:tc>
          <w:tcPr>
            <w:tcW w:w="2260" w:type="dxa"/>
            <w:vAlign w:val="bottom"/>
          </w:tcPr>
          <w:p>
            <w:pPr>
              <w:jc w:val="right"/>
              <w:ind w:right="350"/>
              <w:spacing w:after="0"/>
              <w:rPr>
                <w:sz w:val="20"/>
                <w:szCs w:val="20"/>
                <w:color w:val="auto"/>
              </w:rPr>
            </w:pPr>
            <w:r>
              <w:rPr>
                <w:rFonts w:ascii="Arial" w:cs="Arial" w:eastAsia="Arial" w:hAnsi="Arial"/>
                <w:sz w:val="18"/>
                <w:szCs w:val="18"/>
                <w:color w:val="auto"/>
              </w:rPr>
              <w:t>5,911,672</w:t>
            </w: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10,205,593</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5,911,672</w:t>
            </w:r>
          </w:p>
        </w:tc>
        <w:tc>
          <w:tcPr>
            <w:tcW w:w="1440" w:type="dxa"/>
            <w:vAlign w:val="bottom"/>
          </w:tcPr>
          <w:p>
            <w:pPr>
              <w:jc w:val="right"/>
              <w:spacing w:after="0"/>
              <w:rPr>
                <w:sz w:val="20"/>
                <w:szCs w:val="20"/>
                <w:color w:val="auto"/>
              </w:rPr>
            </w:pPr>
            <w:r>
              <w:rPr>
                <w:rFonts w:ascii="Arial" w:cs="Arial" w:eastAsia="Arial" w:hAnsi="Arial"/>
                <w:sz w:val="18"/>
                <w:szCs w:val="18"/>
                <w:color w:val="auto"/>
              </w:rPr>
              <w:t>10,205,593</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phantom units</w:t>
            </w:r>
          </w:p>
        </w:tc>
        <w:tc>
          <w:tcPr>
            <w:tcW w:w="2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256,935</w:t>
            </w:r>
          </w:p>
        </w:tc>
        <w:tc>
          <w:tcPr>
            <w:tcW w:w="17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605,591</w:t>
            </w:r>
          </w:p>
        </w:tc>
        <w:tc>
          <w:tcPr>
            <w:tcW w:w="18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256,935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605,591</w:t>
            </w: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restricted stock units (“RSUs”)</w:t>
            </w:r>
          </w:p>
        </w:tc>
        <w:tc>
          <w:tcPr>
            <w:tcW w:w="2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1,963,673</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1,584,196</w:t>
            </w:r>
          </w:p>
        </w:tc>
        <w:tc>
          <w:tcPr>
            <w:tcW w:w="1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1,963,673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1,584,196</w:t>
            </w: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2021, the existing limited liability company agreement of Fluence Energy, LLC was amended and restated which recapitalized all existing interests in the Company on the basis of a 14.79-for-1 split. All shares and per share information has been retroactively adjusted to give effect to the recapitalization for all periods presented, unless otherwise indicated.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earnings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nine months ended June 30, 2023 and 2022. Basic and diluted net loss per share of Class A common stock for the three and nine months ended June 30, 2023 and 2022, respectively, have been computed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8"/>
              </w:rPr>
              <w:t>Three Months Ended June 30,</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9"/>
              </w:rPr>
              <w:t>Nine Months Ended June 30,</w:t>
            </w:r>
          </w:p>
        </w:tc>
        <w:tc>
          <w:tcPr>
            <w:tcW w:w="20" w:type="dxa"/>
            <w:vAlign w:val="bottom"/>
          </w:tcPr>
          <w:p>
            <w:pPr>
              <w:spacing w:after="0"/>
              <w:rPr>
                <w:sz w:val="21"/>
                <w:szCs w:val="21"/>
                <w:color w:val="auto"/>
              </w:rPr>
            </w:pPr>
          </w:p>
        </w:tc>
      </w:tr>
      <w:tr>
        <w:trPr>
          <w:trHeight w:val="23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In thousands, except share and per share amounts</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(232,992)</w:t>
            </w:r>
          </w:p>
        </w:tc>
        <w:tc>
          <w:tcPr>
            <w:tcW w:w="20" w:type="dxa"/>
            <w:vAlign w:val="bottom"/>
          </w:tcPr>
          <w:p>
            <w:pPr>
              <w:spacing w:after="0"/>
              <w:rPr>
                <w:sz w:val="19"/>
                <w:szCs w:val="19"/>
                <w:color w:val="auto"/>
              </w:rPr>
            </w:pPr>
          </w:p>
        </w:tc>
      </w:tr>
      <w:tr>
        <w:trPr>
          <w:trHeight w:val="237"/>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Less: Net loss attributable to the non-controlling interest</w:t>
            </w: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(36,748)</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(165,656)</w:t>
            </w:r>
          </w:p>
        </w:tc>
        <w:tc>
          <w:tcPr>
            <w:tcW w:w="20" w:type="dxa"/>
            <w:vAlign w:val="bottom"/>
          </w:tcPr>
          <w:p>
            <w:pPr>
              <w:spacing w:after="0"/>
              <w:rPr>
                <w:sz w:val="20"/>
                <w:szCs w:val="20"/>
                <w:color w:val="auto"/>
              </w:rPr>
            </w:pP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(23,390)</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20" w:type="dxa"/>
            <w:vAlign w:val="bottom"/>
          </w:tcPr>
          <w:p>
            <w:pPr>
              <w:spacing w:after="0"/>
              <w:rPr>
                <w:sz w:val="19"/>
                <w:szCs w:val="19"/>
                <w:color w:val="auto"/>
              </w:rPr>
            </w:pPr>
          </w:p>
        </w:tc>
      </w:tr>
      <w:tr>
        <w:trPr>
          <w:trHeight w:val="250"/>
        </w:trPr>
        <w:tc>
          <w:tcPr>
            <w:tcW w:w="4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Weighted average number of Class A common stock - basic</w:t>
            </w: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117,456,282</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55,625,566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116,368,987</w:t>
            </w: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54,637,372</w:t>
            </w:r>
          </w:p>
        </w:tc>
        <w:tc>
          <w:tcPr>
            <w:tcW w:w="20" w:type="dxa"/>
            <w:vAlign w:val="bottom"/>
          </w:tcPr>
          <w:p>
            <w:pPr>
              <w:spacing w:after="0"/>
              <w:rPr>
                <w:sz w:val="20"/>
                <w:szCs w:val="20"/>
                <w:color w:val="auto"/>
              </w:rPr>
            </w:pP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0"/>
              </w:rPr>
              <w:t>Loss per share of Class A common stock - basic and diluted</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898"/>
        </w:trPr>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accounting standards adopted during the nine months ended June 30, 2023.</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2420" w:type="dxa"/>
            <w:vAlign w:val="bottom"/>
            <w:tcBorders>
              <w:top w:val="single" w:sz="8" w:color="auto"/>
            </w:tcBorders>
            <w:vMerge w:val="restart"/>
          </w:tcPr>
          <w:p>
            <w:pPr>
              <w:ind w:left="940"/>
              <w:spacing w:after="0"/>
              <w:rPr>
                <w:sz w:val="20"/>
                <w:szCs w:val="20"/>
                <w:color w:val="auto"/>
              </w:rPr>
            </w:pPr>
            <w:r>
              <w:rPr>
                <w:rFonts w:ascii="Arial" w:cs="Arial" w:eastAsia="Arial" w:hAnsi="Arial"/>
                <w:sz w:val="14"/>
                <w:szCs w:val="14"/>
                <w:b w:val="1"/>
                <w:bCs w:val="1"/>
                <w:color w:val="auto"/>
              </w:rPr>
              <w:t>Standard</w:t>
            </w:r>
          </w:p>
        </w:tc>
        <w:tc>
          <w:tcPr>
            <w:tcW w:w="4000" w:type="dxa"/>
            <w:vAlign w:val="bottom"/>
            <w:tcBorders>
              <w:top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Period of Adoption</w:t>
            </w:r>
          </w:p>
        </w:tc>
        <w:tc>
          <w:tcPr>
            <w:tcW w:w="2580" w:type="dxa"/>
            <w:vAlign w:val="bottom"/>
            <w:tcBorders>
              <w:top w:val="single" w:sz="8" w:color="auto"/>
            </w:tcBorders>
          </w:tcPr>
          <w:p>
            <w:pPr>
              <w:ind w:left="220"/>
              <w:spacing w:after="0" w:line="153" w:lineRule="exact"/>
              <w:rPr>
                <w:sz w:val="20"/>
                <w:szCs w:val="20"/>
                <w:color w:val="auto"/>
              </w:rPr>
            </w:pPr>
            <w:r>
              <w:rPr>
                <w:rFonts w:ascii="Arial" w:cs="Arial" w:eastAsia="Arial" w:hAnsi="Arial"/>
                <w:sz w:val="14"/>
                <w:szCs w:val="14"/>
                <w:b w:val="1"/>
                <w:bCs w:val="1"/>
                <w:color w:val="auto"/>
                <w:w w:val="92"/>
              </w:rPr>
              <w:t>Effect on the financial statements and</w:t>
            </w:r>
          </w:p>
        </w:tc>
        <w:tc>
          <w:tcPr>
            <w:tcW w:w="0" w:type="dxa"/>
            <w:vAlign w:val="bottom"/>
          </w:tcPr>
          <w:p>
            <w:pPr>
              <w:spacing w:after="0"/>
              <w:rPr>
                <w:sz w:val="1"/>
                <w:szCs w:val="1"/>
                <w:color w:val="auto"/>
              </w:rPr>
            </w:pPr>
          </w:p>
        </w:tc>
      </w:tr>
      <w:tr>
        <w:trPr>
          <w:trHeight w:val="119"/>
        </w:trPr>
        <w:tc>
          <w:tcPr>
            <w:tcW w:w="2420" w:type="dxa"/>
            <w:vAlign w:val="bottom"/>
            <w:vMerge w:val="continue"/>
          </w:tcPr>
          <w:p>
            <w:pPr>
              <w:spacing w:after="0"/>
              <w:rPr>
                <w:sz w:val="10"/>
                <w:szCs w:val="10"/>
                <w:color w:val="auto"/>
              </w:rPr>
            </w:pPr>
          </w:p>
        </w:tc>
        <w:tc>
          <w:tcPr>
            <w:tcW w:w="4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25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other significant matters</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7"/>
              </w:rPr>
              <w:t>ASU 2020-04, Reference Rate</w:t>
            </w:r>
          </w:p>
        </w:tc>
        <w:tc>
          <w:tcPr>
            <w:tcW w:w="4000" w:type="dxa"/>
            <w:vAlign w:val="bottom"/>
            <w:shd w:val="clear" w:color="auto" w:fill="CCEEFF"/>
          </w:tcPr>
          <w:p>
            <w:pPr>
              <w:ind w:left="60"/>
              <w:spacing w:after="0" w:line="169" w:lineRule="exact"/>
              <w:rPr>
                <w:sz w:val="20"/>
                <w:szCs w:val="20"/>
                <w:color w:val="auto"/>
              </w:rPr>
            </w:pPr>
            <w:r>
              <w:rPr>
                <w:rFonts w:ascii="Arial" w:cs="Arial" w:eastAsia="Arial" w:hAnsi="Arial"/>
                <w:sz w:val="18"/>
                <w:szCs w:val="18"/>
                <w:color w:val="auto"/>
              </w:rPr>
              <w:t>In March 2020, the FASB issued ASU 2020-04,</w:t>
            </w:r>
          </w:p>
        </w:tc>
        <w:tc>
          <w:tcPr>
            <w:tcW w:w="15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Q3 FY23</w:t>
            </w:r>
          </w:p>
        </w:tc>
        <w:tc>
          <w:tcPr>
            <w:tcW w:w="258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rPr>
              <w:t>Effective May 19, 2023, the</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Reform (Topic 848): Facilitation</w:t>
            </w: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Reference Rate Reform (Topic 848): Facilitation of</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Company transitioned its</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of the Effects of Reference Rate</w:t>
            </w:r>
          </w:p>
        </w:tc>
        <w:tc>
          <w:tcPr>
            <w:tcW w:w="40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7"/>
              </w:rPr>
              <w:t>the Effects of Reference Rate Reform on Financial</w:t>
            </w:r>
          </w:p>
        </w:tc>
        <w:tc>
          <w:tcPr>
            <w:tcW w:w="1580" w:type="dxa"/>
            <w:vAlign w:val="bottom"/>
            <w:shd w:val="clear" w:color="auto" w:fill="CCEEFF"/>
          </w:tcPr>
          <w:p>
            <w:pPr>
              <w:spacing w:after="0"/>
              <w:rPr>
                <w:sz w:val="16"/>
                <w:szCs w:val="16"/>
                <w:color w:val="auto"/>
              </w:rPr>
            </w:pPr>
          </w:p>
        </w:tc>
        <w:tc>
          <w:tcPr>
            <w:tcW w:w="2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Revolving Credit Facility from</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Reform on Financial Reporting;</w:t>
            </w: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Reporting and subsequent amendment to the initial</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LIBOR to the Secured</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ASU 2022-06, Reference Rate</w:t>
            </w: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guidance: ASU 2021-01, Reference Rate Reform</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Overnight Financing Rate</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Reform (Topic 848): Deferral of</w:t>
            </w:r>
          </w:p>
        </w:tc>
        <w:tc>
          <w:tcPr>
            <w:tcW w:w="40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(Topic 848): Scope (collectively, “Topic 848”).</w:t>
            </w:r>
          </w:p>
        </w:tc>
        <w:tc>
          <w:tcPr>
            <w:tcW w:w="1580" w:type="dxa"/>
            <w:vAlign w:val="bottom"/>
            <w:shd w:val="clear" w:color="auto" w:fill="CCEEFF"/>
          </w:tcPr>
          <w:p>
            <w:pPr>
              <w:spacing w:after="0"/>
              <w:rPr>
                <w:sz w:val="16"/>
                <w:szCs w:val="16"/>
                <w:color w:val="auto"/>
              </w:rPr>
            </w:pPr>
          </w:p>
        </w:tc>
        <w:tc>
          <w:tcPr>
            <w:tcW w:w="2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("SOFR"). The Company</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the Sunset Date of Topic 848.</w:t>
            </w: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Topic 848 provides optional expedients and</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elected the optional practical</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exceptions for applying GAAP to contracts,</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expedient as it relates to our</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16"/>
                <w:szCs w:val="16"/>
                <w:color w:val="auto"/>
              </w:rPr>
            </w:pPr>
          </w:p>
        </w:tc>
        <w:tc>
          <w:tcPr>
            <w:tcW w:w="40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hedging relationships, and other transactions</w:t>
            </w:r>
          </w:p>
        </w:tc>
        <w:tc>
          <w:tcPr>
            <w:tcW w:w="1580" w:type="dxa"/>
            <w:vAlign w:val="bottom"/>
            <w:shd w:val="clear" w:color="auto" w:fill="CCEEFF"/>
          </w:tcPr>
          <w:p>
            <w:pPr>
              <w:spacing w:after="0"/>
              <w:rPr>
                <w:sz w:val="16"/>
                <w:szCs w:val="16"/>
                <w:color w:val="auto"/>
              </w:rPr>
            </w:pPr>
          </w:p>
        </w:tc>
        <w:tc>
          <w:tcPr>
            <w:tcW w:w="2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Revolver as the amendment</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9"/>
              </w:rPr>
              <w:t>affected by reference rate reform if certain criteria</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does not modify terms that</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are met. The amendments apply only to contracts,</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change or have the potential to</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16"/>
                <w:szCs w:val="16"/>
                <w:color w:val="auto"/>
              </w:rPr>
            </w:pPr>
          </w:p>
        </w:tc>
        <w:tc>
          <w:tcPr>
            <w:tcW w:w="40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hedging relationships, and other transactions that</w:t>
            </w:r>
          </w:p>
        </w:tc>
        <w:tc>
          <w:tcPr>
            <w:tcW w:w="1580" w:type="dxa"/>
            <w:vAlign w:val="bottom"/>
            <w:shd w:val="clear" w:color="auto" w:fill="CCEEFF"/>
          </w:tcPr>
          <w:p>
            <w:pPr>
              <w:spacing w:after="0"/>
              <w:rPr>
                <w:sz w:val="16"/>
                <w:szCs w:val="16"/>
                <w:color w:val="auto"/>
              </w:rPr>
            </w:pPr>
          </w:p>
        </w:tc>
        <w:tc>
          <w:tcPr>
            <w:tcW w:w="2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6"/>
              </w:rPr>
              <w:t>change, the amount and timing</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reference LIBOR or another reference rate expected</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of cash flows unrelated to the</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to be discontinued because of reference rate reform.</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replacement of LIBOR. The</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16"/>
                <w:szCs w:val="16"/>
                <w:color w:val="auto"/>
              </w:rPr>
            </w:pPr>
          </w:p>
        </w:tc>
        <w:tc>
          <w:tcPr>
            <w:tcW w:w="40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In December 2022, the FASB issued ASU 2022-06,</w:t>
            </w:r>
          </w:p>
        </w:tc>
        <w:tc>
          <w:tcPr>
            <w:tcW w:w="1580" w:type="dxa"/>
            <w:vAlign w:val="bottom"/>
            <w:shd w:val="clear" w:color="auto" w:fill="CCEEFF"/>
          </w:tcPr>
          <w:p>
            <w:pPr>
              <w:spacing w:after="0"/>
              <w:rPr>
                <w:sz w:val="16"/>
                <w:szCs w:val="16"/>
                <w:color w:val="auto"/>
              </w:rPr>
            </w:pPr>
          </w:p>
        </w:tc>
        <w:tc>
          <w:tcPr>
            <w:tcW w:w="2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2"/>
              </w:rPr>
              <w:t>Company adopted this guidance</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Reference Rate Reform (Topic 848): Deferral of the</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prospectively on May 19, 2023,</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40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Sunset Date of Topic 848. ASU 2022-06 defers the</w:t>
            </w:r>
          </w:p>
        </w:tc>
        <w:tc>
          <w:tcPr>
            <w:tcW w:w="1580" w:type="dxa"/>
            <w:vAlign w:val="bottom"/>
            <w:shd w:val="clear" w:color="auto" w:fill="CCEEFF"/>
          </w:tcPr>
          <w:p>
            <w:pPr>
              <w:spacing w:after="0"/>
              <w:rPr>
                <w:sz w:val="15"/>
                <w:szCs w:val="15"/>
                <w:color w:val="auto"/>
              </w:rPr>
            </w:pPr>
          </w:p>
        </w:tc>
        <w:tc>
          <w:tcPr>
            <w:tcW w:w="2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and it did not have a material</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16"/>
                <w:szCs w:val="16"/>
                <w:color w:val="auto"/>
              </w:rPr>
            </w:pPr>
          </w:p>
        </w:tc>
        <w:tc>
          <w:tcPr>
            <w:tcW w:w="40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6"/>
              </w:rPr>
              <w:t>sunset date of Topic 848 from December 31, 2022,</w:t>
            </w:r>
          </w:p>
        </w:tc>
        <w:tc>
          <w:tcPr>
            <w:tcW w:w="1580" w:type="dxa"/>
            <w:vAlign w:val="bottom"/>
            <w:shd w:val="clear" w:color="auto" w:fill="CCEEFF"/>
          </w:tcPr>
          <w:p>
            <w:pPr>
              <w:spacing w:after="0"/>
              <w:rPr>
                <w:sz w:val="16"/>
                <w:szCs w:val="16"/>
                <w:color w:val="auto"/>
              </w:rPr>
            </w:pPr>
          </w:p>
        </w:tc>
        <w:tc>
          <w:tcPr>
            <w:tcW w:w="2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impact on the Consolidated</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4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 December 31, 2024.</w:t>
            </w:r>
          </w:p>
        </w:tc>
        <w:tc>
          <w:tcPr>
            <w:tcW w:w="1580" w:type="dxa"/>
            <w:vAlign w:val="bottom"/>
            <w:shd w:val="clear" w:color="auto" w:fill="CCEEFF"/>
          </w:tcPr>
          <w:p>
            <w:pPr>
              <w:spacing w:after="0"/>
              <w:rPr>
                <w:sz w:val="20"/>
                <w:szCs w:val="20"/>
                <w:color w:val="auto"/>
              </w:rPr>
            </w:pPr>
          </w:p>
        </w:tc>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accounting standards not yet adopted: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Borders>
              <w:top w:val="single" w:sz="8" w:color="auto"/>
            </w:tcBorders>
            <w:vMerge w:val="restart"/>
          </w:tcPr>
          <w:p>
            <w:pPr>
              <w:ind w:left="1300"/>
              <w:spacing w:after="0"/>
              <w:rPr>
                <w:sz w:val="20"/>
                <w:szCs w:val="20"/>
                <w:color w:val="auto"/>
              </w:rPr>
            </w:pPr>
            <w:r>
              <w:rPr>
                <w:rFonts w:ascii="Arial" w:cs="Arial" w:eastAsia="Arial" w:hAnsi="Arial"/>
                <w:sz w:val="14"/>
                <w:szCs w:val="14"/>
                <w:b w:val="1"/>
                <w:bCs w:val="1"/>
                <w:color w:val="auto"/>
              </w:rPr>
              <w:t>Standard</w:t>
            </w:r>
          </w:p>
        </w:tc>
        <w:tc>
          <w:tcPr>
            <w:tcW w:w="3200" w:type="dxa"/>
            <w:vAlign w:val="bottom"/>
            <w:tcBorders>
              <w:top w:val="single" w:sz="8" w:color="auto"/>
            </w:tcBorders>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236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Required date of adoption</w:t>
            </w:r>
          </w:p>
        </w:tc>
        <w:tc>
          <w:tcPr>
            <w:tcW w:w="2520" w:type="dxa"/>
            <w:vAlign w:val="bottom"/>
            <w:tcBorders>
              <w:top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w w:val="94"/>
              </w:rPr>
              <w:t>Effect on the financial statements and</w:t>
            </w:r>
          </w:p>
        </w:tc>
        <w:tc>
          <w:tcPr>
            <w:tcW w:w="0" w:type="dxa"/>
            <w:vAlign w:val="bottom"/>
          </w:tcPr>
          <w:p>
            <w:pPr>
              <w:spacing w:after="0"/>
              <w:rPr>
                <w:sz w:val="1"/>
                <w:szCs w:val="1"/>
                <w:color w:val="auto"/>
              </w:rPr>
            </w:pPr>
          </w:p>
        </w:tc>
      </w:tr>
      <w:tr>
        <w:trPr>
          <w:trHeight w:val="110"/>
        </w:trPr>
        <w:tc>
          <w:tcPr>
            <w:tcW w:w="3160" w:type="dxa"/>
            <w:vAlign w:val="bottom"/>
            <w:vMerge w:val="continue"/>
          </w:tcPr>
          <w:p>
            <w:pPr>
              <w:spacing w:after="0"/>
              <w:rPr>
                <w:sz w:val="9"/>
                <w:szCs w:val="9"/>
                <w:color w:val="auto"/>
              </w:rPr>
            </w:pPr>
          </w:p>
        </w:tc>
        <w:tc>
          <w:tcPr>
            <w:tcW w:w="320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25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 significant matters</w:t>
            </w:r>
          </w:p>
        </w:tc>
        <w:tc>
          <w:tcPr>
            <w:tcW w:w="0" w:type="dxa"/>
            <w:vAlign w:val="bottom"/>
          </w:tcPr>
          <w:p>
            <w:pPr>
              <w:spacing w:after="0"/>
              <w:rPr>
                <w:sz w:val="1"/>
                <w:szCs w:val="1"/>
                <w:color w:val="auto"/>
              </w:rPr>
            </w:pPr>
          </w:p>
        </w:tc>
      </w:tr>
      <w:tr>
        <w:trPr>
          <w:trHeight w:val="86"/>
        </w:trPr>
        <w:tc>
          <w:tcPr>
            <w:tcW w:w="316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Accounting Standards Update (“ASU”)</w:t>
            </w:r>
          </w:p>
        </w:tc>
        <w:tc>
          <w:tcPr>
            <w:tcW w:w="556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w w:val="95"/>
              </w:rPr>
              <w:t>In September 2022, the Financial ASU No. ASU 2022-04 is effective for</w:t>
            </w:r>
          </w:p>
        </w:tc>
        <w:tc>
          <w:tcPr>
            <w:tcW w:w="2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The Company is evaluating the</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No. 2022-04: Liabilities-Supplier Finance</w:t>
            </w: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6"/>
              </w:rPr>
              <w:t>2022-04, "Disclosure of Supplier Finance</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the Company beginning in its</w:t>
            </w:r>
          </w:p>
        </w:tc>
        <w:tc>
          <w:tcPr>
            <w:tcW w:w="2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impact that this guidance will</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Programs (Subtopic 405-50): Disclosure of</w:t>
            </w: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Program Obligations" ("ASU 2022-04").</w:t>
            </w:r>
          </w:p>
        </w:tc>
        <w:tc>
          <w:tcPr>
            <w:tcW w:w="2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fiscal year ending - September</w:t>
            </w:r>
          </w:p>
        </w:tc>
        <w:tc>
          <w:tcPr>
            <w:tcW w:w="25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have on disclosures related to its</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Supplier Finance Program Obligations</w:t>
            </w: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5"/>
              </w:rPr>
              <w:t>ASU 2022-04 requires entities to disclose</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30, 2024 and is to be applied</w:t>
            </w:r>
          </w:p>
        </w:tc>
        <w:tc>
          <w:tcPr>
            <w:tcW w:w="2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supplier finance program</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2"/>
              </w:rPr>
              <w:t>the key terms of supplier finance programs</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4"/>
              </w:rPr>
              <w:t>retrospectively to all periods in</w:t>
            </w:r>
          </w:p>
        </w:tc>
        <w:tc>
          <w:tcPr>
            <w:tcW w:w="25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obligations.</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16"/>
                <w:szCs w:val="16"/>
                <w:color w:val="auto"/>
              </w:rPr>
            </w:pP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they use in connection with the purchase of</w:t>
            </w:r>
          </w:p>
        </w:tc>
        <w:tc>
          <w:tcPr>
            <w:tcW w:w="2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which a balance sheet is</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2"/>
              </w:rPr>
              <w:t>goods and services, along with the amount</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presented. The annual</w:t>
            </w: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of obligations outstanding at the end of</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rollforward disclosure is not</w:t>
            </w: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16"/>
                <w:szCs w:val="16"/>
                <w:color w:val="auto"/>
              </w:rPr>
            </w:pP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each period and an annual rollforward of</w:t>
            </w:r>
          </w:p>
        </w:tc>
        <w:tc>
          <w:tcPr>
            <w:tcW w:w="2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required to be made until its</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such obligations. This standard does not</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fiscal year ending September</w:t>
            </w: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spacing w:after="0"/>
              <w:rPr>
                <w:sz w:val="15"/>
                <w:szCs w:val="15"/>
                <w:color w:val="auto"/>
              </w:rPr>
            </w:pPr>
          </w:p>
        </w:tc>
        <w:tc>
          <w:tcPr>
            <w:tcW w:w="32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affect the recognition, measurement, or</w:t>
            </w:r>
          </w:p>
        </w:tc>
        <w:tc>
          <w:tcPr>
            <w:tcW w:w="2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30, 2025 and is to be applied</w:t>
            </w:r>
          </w:p>
        </w:tc>
        <w:tc>
          <w:tcPr>
            <w:tcW w:w="2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16"/>
                <w:szCs w:val="16"/>
                <w:color w:val="auto"/>
              </w:rPr>
            </w:pPr>
          </w:p>
        </w:tc>
        <w:tc>
          <w:tcPr>
            <w:tcW w:w="32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1"/>
              </w:rPr>
              <w:t>financial statement presentation of supplier</w:t>
            </w:r>
          </w:p>
        </w:tc>
        <w:tc>
          <w:tcPr>
            <w:tcW w:w="2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2"/>
              </w:rPr>
              <w:t>prospectively. Early adoption is</w:t>
            </w:r>
          </w:p>
        </w:tc>
        <w:tc>
          <w:tcPr>
            <w:tcW w:w="2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p>
        </w:tc>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program obligations.</w:t>
            </w:r>
          </w:p>
        </w:tc>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permitted.</w:t>
            </w:r>
          </w:p>
        </w:tc>
        <w:tc>
          <w:tcPr>
            <w:tcW w:w="2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3160" w:type="dxa"/>
            <w:vAlign w:val="bottom"/>
          </w:tcPr>
          <w:p>
            <w:pPr>
              <w:spacing w:after="0"/>
              <w:rPr>
                <w:sz w:val="24"/>
                <w:szCs w:val="24"/>
                <w:color w:val="auto"/>
              </w:rPr>
            </w:pPr>
          </w:p>
        </w:tc>
        <w:tc>
          <w:tcPr>
            <w:tcW w:w="3200" w:type="dxa"/>
            <w:vAlign w:val="bottom"/>
          </w:tcPr>
          <w:p>
            <w:pPr>
              <w:ind w:left="2380"/>
              <w:spacing w:after="0"/>
              <w:rPr>
                <w:sz w:val="20"/>
                <w:szCs w:val="20"/>
                <w:color w:val="auto"/>
              </w:rPr>
            </w:pPr>
            <w:r>
              <w:rPr>
                <w:rFonts w:ascii="Arial" w:cs="Arial" w:eastAsia="Arial" w:hAnsi="Arial"/>
                <w:sz w:val="18"/>
                <w:szCs w:val="18"/>
                <w:color w:val="auto"/>
              </w:rPr>
              <w:t>19</w:t>
            </w:r>
          </w:p>
        </w:tc>
        <w:tc>
          <w:tcPr>
            <w:tcW w:w="2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is primarily derived from sales of our energy storage products and solutions. The following table presents the Company’s revenue disaggregated by revenue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Nine Months Ended June 30,</w:t>
            </w:r>
          </w:p>
        </w:tc>
      </w:tr>
      <w:tr>
        <w:trPr>
          <w:trHeight w:val="29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energy storage products and solutions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530,268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1,529,766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742,132</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12,866</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digital applications and solutions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5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536,351</w:t>
            </w:r>
          </w:p>
        </w:tc>
        <w:tc>
          <w:tcPr>
            <w:tcW w:w="4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239,010</w:t>
            </w:r>
          </w:p>
        </w:tc>
        <w:tc>
          <w:tcPr>
            <w:tcW w:w="4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1,544,997</w:t>
            </w:r>
          </w:p>
        </w:tc>
        <w:tc>
          <w:tcPr>
            <w:tcW w:w="4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756,621</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regions based on location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7"/>
              </w:rPr>
              <w:t>Three Months Ended June 30,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7"/>
              </w:rPr>
              <w:t>Nine Months Ended June 30,</w:t>
            </w:r>
          </w:p>
        </w:tc>
      </w:tr>
      <w:tr>
        <w:trPr>
          <w:trHeight w:val="28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(North, Central and South America)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439,804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1,173,473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542,197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APAC (Asia Pacific)</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29,882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123,078</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115,348</w:t>
            </w:r>
          </w:p>
        </w:tc>
      </w:tr>
      <w:tr>
        <w:trPr>
          <w:trHeight w:val="237"/>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 (Europe, Middle-East and Africa)</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66,665</w:t>
            </w:r>
          </w:p>
        </w:tc>
        <w:tc>
          <w:tcPr>
            <w:tcW w:w="4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248,446</w:t>
            </w: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99,076</w:t>
            </w:r>
          </w:p>
        </w:tc>
      </w:tr>
      <w:tr>
        <w:trPr>
          <w:trHeight w:val="22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536,351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239,010</w:t>
            </w:r>
          </w:p>
        </w:tc>
        <w:tc>
          <w:tcPr>
            <w:tcW w:w="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1,544,997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756,621</w:t>
            </w: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June 30, 2023, our top four customers, in the aggregate, accounted for approximately 62% of total revenue.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nine months ended June 30, 2022, our top three customers, in the aggregate, accounted for approximately 80% of total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Nine Months Ended June 30,</w:t>
            </w:r>
          </w:p>
        </w:tc>
      </w:tr>
      <w:tr>
        <w:trPr>
          <w:trHeight w:val="23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2"/>
              </w:rPr>
              <w:t>584,425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222,815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89"/>
              </w:rPr>
              <w:t>273,073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71,365</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360" w:type="dxa"/>
            <w:vAlign w:val="bottom"/>
          </w:tcPr>
          <w:p>
            <w:pPr>
              <w:jc w:val="center"/>
              <w:ind w:left="430"/>
              <w:spacing w:after="0"/>
              <w:rPr>
                <w:sz w:val="20"/>
                <w:szCs w:val="20"/>
                <w:color w:val="auto"/>
              </w:rPr>
            </w:pPr>
            <w:r>
              <w:rPr>
                <w:rFonts w:ascii="Arial" w:cs="Arial" w:eastAsia="Arial" w:hAnsi="Arial"/>
                <w:sz w:val="18"/>
                <w:szCs w:val="18"/>
                <w:color w:val="auto"/>
                <w:w w:val="92"/>
              </w:rPr>
              <w:t>167,361</w:t>
            </w:r>
          </w:p>
        </w:tc>
        <w:tc>
          <w:tcPr>
            <w:tcW w:w="400" w:type="dxa"/>
            <w:vAlign w:val="bottom"/>
          </w:tcPr>
          <w:p>
            <w:pPr>
              <w:spacing w:after="0"/>
              <w:rPr>
                <w:sz w:val="18"/>
                <w:szCs w:val="18"/>
                <w:color w:val="auto"/>
              </w:rPr>
            </w:pPr>
          </w:p>
        </w:tc>
        <w:tc>
          <w:tcPr>
            <w:tcW w:w="1240" w:type="dxa"/>
            <w:vAlign w:val="bottom"/>
          </w:tcPr>
          <w:p>
            <w:pPr>
              <w:ind w:left="580"/>
              <w:spacing w:after="0"/>
              <w:rPr>
                <w:sz w:val="20"/>
                <w:szCs w:val="20"/>
                <w:color w:val="auto"/>
              </w:rPr>
            </w:pPr>
            <w:r>
              <w:rPr>
                <w:rFonts w:ascii="Arial" w:cs="Arial" w:eastAsia="Arial" w:hAnsi="Arial"/>
                <w:sz w:val="18"/>
                <w:szCs w:val="18"/>
                <w:color w:val="auto"/>
                <w:w w:val="98"/>
              </w:rPr>
              <w:t>194,398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left="390"/>
              <w:spacing w:after="0"/>
              <w:rPr>
                <w:sz w:val="20"/>
                <w:szCs w:val="20"/>
                <w:color w:val="auto"/>
              </w:rPr>
            </w:pPr>
            <w:r>
              <w:rPr>
                <w:rFonts w:ascii="Arial" w:cs="Arial" w:eastAsia="Arial" w:hAnsi="Arial"/>
                <w:sz w:val="18"/>
                <w:szCs w:val="18"/>
                <w:color w:val="auto"/>
                <w:w w:val="89"/>
              </w:rPr>
              <w:t>452,069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369,679</w:t>
            </w:r>
          </w:p>
        </w:tc>
      </w:tr>
      <w:tr>
        <w:trPr>
          <w:trHeight w:val="202"/>
        </w:trPr>
        <w:tc>
          <w:tcPr>
            <w:tcW w:w="4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Revenue recognized related to amounts that were included in</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7"/>
        </w:trPr>
        <w:tc>
          <w:tcPr>
            <w:tcW w:w="4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balance of deferred revenue</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(299,717)</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(46,183)</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3"/>
              </w:rPr>
              <w:t>(273,073)</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(70,014)</w:t>
            </w:r>
          </w:p>
        </w:tc>
      </w:tr>
      <w:tr>
        <w:trPr>
          <w:trHeight w:val="21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2"/>
              </w:rPr>
              <w:t>452,069</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371,030</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452,069</w:t>
            </w:r>
          </w:p>
        </w:tc>
        <w:tc>
          <w:tcPr>
            <w:tcW w:w="4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371,030</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23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6"/>
              </w:rPr>
              <w:t>Nine Months Ended June 30,</w:t>
            </w:r>
          </w:p>
        </w:tc>
      </w:tr>
      <w:tr>
        <w:trPr>
          <w:trHeight w:val="23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from related parties, 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186,957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171,466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2"/>
              </w:rPr>
              <w:t>300,697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220,122</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47,489</w:t>
            </w:r>
          </w:p>
        </w:tc>
        <w:tc>
          <w:tcPr>
            <w:tcW w:w="40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w w:val="95"/>
              </w:rPr>
              <w:t>130,563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left="370"/>
              <w:spacing w:after="0"/>
              <w:rPr>
                <w:sz w:val="20"/>
                <w:szCs w:val="20"/>
                <w:color w:val="auto"/>
              </w:rPr>
            </w:pPr>
            <w:r>
              <w:rPr>
                <w:rFonts w:ascii="Arial" w:cs="Arial" w:eastAsia="Arial" w:hAnsi="Arial"/>
                <w:sz w:val="18"/>
                <w:szCs w:val="18"/>
                <w:color w:val="auto"/>
                <w:w w:val="92"/>
              </w:rPr>
              <w:t>138,781</w:t>
            </w:r>
          </w:p>
        </w:tc>
        <w:tc>
          <w:tcPr>
            <w:tcW w:w="400" w:type="dxa"/>
            <w:vAlign w:val="bottom"/>
          </w:tcPr>
          <w:p>
            <w:pPr>
              <w:spacing w:after="0"/>
              <w:rPr>
                <w:sz w:val="18"/>
                <w:szCs w:val="18"/>
                <w:color w:val="auto"/>
              </w:rPr>
            </w:pPr>
          </w:p>
        </w:tc>
        <w:tc>
          <w:tcPr>
            <w:tcW w:w="1160" w:type="dxa"/>
            <w:vAlign w:val="bottom"/>
          </w:tcPr>
          <w:p>
            <w:pPr>
              <w:jc w:val="center"/>
              <w:ind w:left="330"/>
              <w:spacing w:after="0"/>
              <w:rPr>
                <w:sz w:val="20"/>
                <w:szCs w:val="20"/>
                <w:color w:val="auto"/>
              </w:rPr>
            </w:pPr>
            <w:r>
              <w:rPr>
                <w:rFonts w:ascii="Arial" w:cs="Arial" w:eastAsia="Arial" w:hAnsi="Arial"/>
                <w:sz w:val="18"/>
                <w:szCs w:val="18"/>
                <w:color w:val="auto"/>
                <w:w w:val="89"/>
              </w:rPr>
              <w:t>226,330</w:t>
            </w:r>
          </w:p>
        </w:tc>
      </w:tr>
      <w:tr>
        <w:trPr>
          <w:trHeight w:val="202"/>
        </w:trPr>
        <w:tc>
          <w:tcPr>
            <w:tcW w:w="4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Revenue recognized related to amounts that were included in</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7"/>
        </w:trPr>
        <w:tc>
          <w:tcPr>
            <w:tcW w:w="4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balance of deferred revenue</w:t>
            </w: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(84,146)</w:t>
            </w: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2"/>
              </w:rPr>
              <w:t>(74,198)</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0"/>
              </w:rPr>
              <w:t>(289,178)</w:t>
            </w:r>
          </w:p>
        </w:tc>
        <w:tc>
          <w:tcPr>
            <w:tcW w:w="4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3"/>
              </w:rPr>
              <w:t>(218,621)</w:t>
            </w:r>
          </w:p>
        </w:tc>
      </w:tr>
      <w:tr>
        <w:trPr>
          <w:trHeight w:val="21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from related parties,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150,300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5"/>
              </w:rPr>
              <w:t>227,831</w:t>
            </w:r>
          </w:p>
        </w:tc>
        <w:tc>
          <w:tcPr>
            <w:tcW w:w="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2"/>
              </w:rPr>
              <w:t>150,300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227,831</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June 30, 2023, the Company had $2.9 billion of remaining performance obligations related to our contractual commitments, of which we expect to recognize approximately 80% in revenue in the next 3 to 27 months and the remainder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2023 and September 30, 2022, our transaction prices have been reduced to reflect variable consideration of $(66.0) million and $75.5 million, respectively. Variable consideration primarily relates to our customers’ rights to liquidated damages in the event a specified milestone has not been met or equipment is not delivered according to contract specifications. Variable consideration is estimated using the expected-value method which computes a weighted average amount based on a range of potential outcomes. For contracts in which a significant reversal may occur we constrain the amount of revenue to be recognized.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June 30, 2023</w:t>
            </w: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1"/>
              </w:rPr>
              <w:t>September 30, 2022</w:t>
            </w:r>
          </w:p>
        </w:tc>
        <w:tc>
          <w:tcPr>
            <w:tcW w:w="920" w:type="dxa"/>
            <w:vAlign w:val="bottom"/>
            <w:tcBorders>
              <w:top w:val="single" w:sz="8" w:color="auto"/>
              <w:bottom w:val="single" w:sz="8" w:color="auto"/>
            </w:tcBorders>
          </w:tcPr>
          <w:p>
            <w:pPr>
              <w:spacing w:after="0"/>
              <w:rPr>
                <w:sz w:val="21"/>
                <w:szCs w:val="2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Provision</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Provision</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Net</w:t>
            </w: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Cubes, batteries, and other equipment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513,759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513,551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651,765</w:t>
            </w: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Shipping containers and spare parts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48"/>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513,759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513,551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654,041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652,735</w:t>
            </w: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September 30, 2022</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recoverable</w:t>
            </w:r>
          </w:p>
        </w:tc>
        <w:tc>
          <w:tcPr>
            <w:tcW w:w="3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30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2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0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3,134</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43"/>
        </w:trPr>
        <w:tc>
          <w:tcPr>
            <w:tcW w:w="41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3"/>
                <w:szCs w:val="23"/>
                <w:i w:val="1"/>
                <w:iCs w:val="1"/>
                <w:color w:val="auto"/>
                <w:vertAlign w:val="superscript"/>
              </w:rPr>
              <w:t>(a)</w:t>
            </w:r>
          </w:p>
        </w:tc>
        <w:tc>
          <w:tcPr>
            <w:tcW w:w="30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r>
      <w:tr>
        <w:trPr>
          <w:trHeight w:val="22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35"/>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firstLine="8"/>
        <w:spacing w:after="0" w:line="293" w:lineRule="auto"/>
        <w:tabs>
          <w:tab w:leader="none" w:pos="204"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Derivative assets represent forward contracts which are used predominantly to mitigate foreign exchange rate exposure on costs incurred on customer projects. Gains and losses on forward contracts are recorded to cost of goods and services.</w:t>
      </w:r>
    </w:p>
    <w:p>
      <w:pPr>
        <w:spacing w:after="0" w:line="17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June 30, 2023</w:t>
            </w: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September 30, 2022</w:t>
            </w:r>
          </w:p>
        </w:tc>
        <w:tc>
          <w:tcPr>
            <w:tcW w:w="2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5"/>
                <w:szCs w:val="15"/>
                <w:color w:val="auto"/>
              </w:rPr>
            </w:pPr>
          </w:p>
        </w:tc>
        <w:tc>
          <w:tcPr>
            <w:tcW w:w="9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5"/>
                <w:szCs w:val="15"/>
                <w:color w:val="auto"/>
              </w:rPr>
            </w:pPr>
          </w:p>
        </w:tc>
        <w:tc>
          <w:tcPr>
            <w:tcW w:w="140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w w:val="97"/>
              </w:rPr>
              <w:t>Accumulated</w:t>
            </w:r>
          </w:p>
        </w:tc>
        <w:tc>
          <w:tcPr>
            <w:tcW w:w="300" w:type="dxa"/>
            <w:vAlign w:val="bottom"/>
          </w:tcPr>
          <w:p>
            <w:pPr>
              <w:spacing w:after="0"/>
              <w:rPr>
                <w:sz w:val="15"/>
                <w:szCs w:val="15"/>
                <w:color w:val="auto"/>
              </w:rPr>
            </w:pPr>
          </w:p>
        </w:tc>
        <w:tc>
          <w:tcPr>
            <w:tcW w:w="7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15"/>
                <w:szCs w:val="15"/>
                <w:color w:val="auto"/>
              </w:rPr>
            </w:pPr>
          </w:p>
        </w:tc>
        <w:tc>
          <w:tcPr>
            <w:tcW w:w="136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5"/>
                <w:szCs w:val="15"/>
                <w:color w:val="auto"/>
              </w:rPr>
            </w:pPr>
          </w:p>
        </w:tc>
        <w:tc>
          <w:tcPr>
            <w:tcW w:w="7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Amortization</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licenses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29,675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(4,629)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28,347</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Trade names /Trademarks</w:t>
            </w: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5,276</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(3,180)</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5,216</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(2,679)</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5,513</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Capitalized software to be sold</w:t>
            </w: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55,438</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amortization expense for the three months ended June 30, 2023 and 2022 was $1.9 million and $1.3 million, respectively. Total amortization expense for the nine months ended June 30, 2023 and 2022 was $5.3 million and $3.2 million, respectively. Included within amortization expense for the three and nine months ended June 30, 2023 was $0.5 million for capitalized software. No capitalized software amortization expense was recorded for the three and nine months ended June 30,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Goodwill</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impairment was recognized for the nine months ended June 30, 2023 and 2022, respectively. The following table presents the goodwill activity for the nine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June 30, 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June 30, 2022</w:t>
            </w:r>
          </w:p>
        </w:tc>
      </w:tr>
      <w:tr>
        <w:trPr>
          <w:trHeight w:val="23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the period</w:t>
            </w:r>
          </w:p>
        </w:tc>
        <w:tc>
          <w:tcPr>
            <w:tcW w:w="206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24,851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2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43"/>
        </w:trPr>
        <w:tc>
          <w:tcPr>
            <w:tcW w:w="5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Acquisition related goodwill</w:t>
            </w:r>
          </w:p>
        </w:tc>
        <w:tc>
          <w:tcPr>
            <w:tcW w:w="20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16,536</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End of the period</w:t>
            </w:r>
          </w:p>
        </w:tc>
        <w:tc>
          <w:tcPr>
            <w:tcW w:w="206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26,286</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w:t>
            </w:r>
          </w:p>
        </w:tc>
      </w:tr>
      <w:tr>
        <w:trPr>
          <w:trHeight w:val="27"/>
        </w:trPr>
        <w:tc>
          <w:tcPr>
            <w:tcW w:w="5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3746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465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Current Accruals and Provisions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Accruals mainly represent milestones not yet invoiced for inventory such as batteries, cubes, and inverters.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Current accruals and provisions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2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2022</w:t>
            </w:r>
          </w:p>
        </w:tc>
      </w:tr>
      <w:tr>
        <w:trPr>
          <w:trHeight w:val="23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w:t>
            </w:r>
          </w:p>
        </w:tc>
        <w:tc>
          <w:tcPr>
            <w:tcW w:w="2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152,996</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Provisions for expected project losses</w:t>
            </w:r>
          </w:p>
        </w:tc>
        <w:tc>
          <w:tcPr>
            <w:tcW w:w="244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8,154</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30,032</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Warranty accrual</w:t>
            </w:r>
          </w:p>
        </w:tc>
        <w:tc>
          <w:tcPr>
            <w:tcW w:w="24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13,518</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105,884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184,653</w:t>
            </w:r>
          </w:p>
        </w:tc>
      </w:tr>
      <w:tr>
        <w:trPr>
          <w:trHeight w:val="22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non-current portion</w:t>
            </w:r>
          </w:p>
        </w:tc>
        <w:tc>
          <w:tcPr>
            <w:tcW w:w="24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2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w:t>
            </w:r>
          </w:p>
        </w:tc>
        <w:tc>
          <w:tcPr>
            <w:tcW w:w="2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95,737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183,814</w:t>
            </w:r>
          </w:p>
        </w:tc>
      </w:tr>
      <w:tr>
        <w:trPr>
          <w:trHeight w:val="21"/>
        </w:trPr>
        <w:tc>
          <w:tcPr>
            <w:tcW w:w="48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1, 2021, we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“Credit Agreement”).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The maturity date of the Revolver is November 1, 2025. On May 19, 2023, the Credit Agreement was amended to replace Adjusted LIBOR with Adjusted Term SOFR as the applicable benchmark interest rate with respect to certain classes of loans. The Company elected the optional practical expedient as it relates to our Revolver as the amendment does not modify terms that change or have the potential to change, the amount and timing of cash flows unrelated to the replacement of LIBOR.</w:t>
      </w:r>
    </w:p>
    <w:p>
      <w:pPr>
        <w:spacing w:after="0" w:line="19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The Revolver bears interest at (i) with respect to Term Benchmark Loans (as defined in the Credit Agreement), the Adjusted Term SOFR Rate, the Adjusted EURIBOR Rate or the AUD Rate (each as defined in the Credit Agreement), as applicable, plus 3.0%, (ii) with respect to ABR Loans (as defined in the Credit Agreement) the Alternate Base Rate (as defined in the Credit Agreement) plus 2.0%, or (iii) with respect to RFR Loans (as defined in the Credit Agreement), the applicable Daily Simply RFR (as defined in the Credit Agreement) plus 3.1193%, in each instance subject to customary benchmark replacement provisions including, but not limited to, alternative benchmark rates, customary spread adjustments with respect to borrowings in foreign currency and benchmark replacement conforming changes. Fluence Energy, LLC is required to pay to the lenders a commitment fee of 0.55% per annum on the average daily unused portion of the revolving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0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Credit Agreement limits our ability to make certain payments, including dividends and distributions on Fluence Energy, LLC’s equity, Fluence Energy, Inc.’s equity and other restricted payments. Under the terms of the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Credit Agreement) (a) if after giving pro forma effect to such dividend or other Restricted Payment the Total Liquidity (as defined in the Credit Agreement) of Fluence Energy, Inc. and its subsidiaries party to the Credit Agreement is at least $600,000,000, or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dated as of November 1, 2021, entered into connection with the IPO, by and among Fluence Energy, Inc., Fluence Energy, LLC and the Founders (the “Tax Receivable Agreement”)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certain operational expenses incurred in connection with the ownership and management of Fluence Energy, LLC</w:t>
      </w:r>
      <w:r>
        <w:rPr>
          <w:rFonts w:ascii="Arial" w:cs="Arial" w:eastAsia="Arial" w:hAnsi="Arial"/>
          <w:sz w:val="21"/>
          <w:szCs w:val="21"/>
          <w:color w:val="auto"/>
        </w:rPr>
        <w:t>.</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June 30, 2023, we were in compliance with all such covenants or maintained availability above such covenant triggers.</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we had no borrowings under the Revolver and have availability under the facility of $165.3 million, net of letters of credit issued of $34.7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weighted-average annual interest rate of the borrowing was 2.83%. On November 1, 2021, the $50.0 million outstanding borrowings from the Line of Credit was paid off using the proceeds from our IPO and the Line of Credit was canceled shortly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Against Note Receivable - Pledged as Collateral</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December 2022, we transferred $24.3 million in customer receivables to Standard Charter Bank (“SCB”) in the Philippines for proceeds of $21.1 million. The receivables all related to our largest customer in that country. The underlying receivables transferred were previously aggregated into a long term note, with interest, and has a maturity date of September 30, 2024 and was previously classified under “</w:t>
      </w:r>
      <w:r>
        <w:rPr>
          <w:rFonts w:ascii="Arial" w:cs="Arial" w:eastAsia="Arial" w:hAnsi="Arial"/>
          <w:sz w:val="17"/>
          <w:szCs w:val="17"/>
          <w:i w:val="1"/>
          <w:iCs w:val="1"/>
          <w:color w:val="auto"/>
        </w:rPr>
        <w:t>Other non-current assets”</w:t>
      </w:r>
      <w:r>
        <w:rPr>
          <w:rFonts w:ascii="Arial" w:cs="Arial" w:eastAsia="Arial" w:hAnsi="Arial"/>
          <w:sz w:val="17"/>
          <w:szCs w:val="17"/>
          <w:color w:val="auto"/>
        </w:rPr>
        <w:t xml:space="preserve"> on our condensed consolidated balance sheet. In April 2023, we aggregated into an additional long term note and transferred an additional $30.9 million in receivables with the same customer to SCB for proceeds of $27.0 million, upon substantially similar terms as the December 2022 transfer and has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We will record aggregate interest expense of $3.2 million to SCB over the 24 months period from September 30, 2022 until the first note receivable is fully due from the customer. We will record aggregate interest expense of $3.9 million to SCB over the 21 month period from April 1, 2023 until the second note receivable is fully due from the customer.</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12 —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details regarding borrowings from related parties.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provision for income taxes is based on the estimated annual effective tax rate, plus discrete items.</w:t>
      </w:r>
    </w:p>
    <w:p>
      <w:pPr>
        <w:spacing w:after="0" w:line="144"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8"/>
          <w:szCs w:val="18"/>
          <w:color w:val="auto"/>
        </w:rPr>
        <w:t>Income tax expense (benefit) was $(1.3) million and $(1.0) million for the three months ended June 30, 2023 and 2022, respectively. The effective tax rate for the three months ended June 30, 2023 and 2022 was 3.6% and 1.6%, respectively. For the three months ended June 30, 2023, the Company’s effective tax rate differs from the U.S. statutory tax rate of 21% primarily due to flow-through losses attributable to the Founder, AES Grid Stability, valuation allowances and foreign exchange losses. For the three months ended June 30, 2022, the Company’s effective tax rate differs from the U.S. statutory tax rate of 21% primarily due to flow-through losses attributable to the Founders, AES Grid Stability and Siemens Industry, valuation allowances, and foreign exchange losses.</w:t>
      </w:r>
    </w:p>
    <w:p>
      <w:pPr>
        <w:spacing w:after="0" w:line="125" w:lineRule="exact"/>
        <w:rPr>
          <w:sz w:val="20"/>
          <w:szCs w:val="20"/>
          <w:color w:val="auto"/>
        </w:rPr>
      </w:pPr>
    </w:p>
    <w:p>
      <w:pPr>
        <w:jc w:val="both"/>
        <w:ind w:left="80" w:firstLine="324"/>
        <w:spacing w:after="0" w:line="273" w:lineRule="auto"/>
        <w:rPr>
          <w:sz w:val="20"/>
          <w:szCs w:val="20"/>
          <w:color w:val="auto"/>
        </w:rPr>
      </w:pPr>
      <w:r>
        <w:rPr>
          <w:rFonts w:ascii="Arial" w:cs="Arial" w:eastAsia="Arial" w:hAnsi="Arial"/>
          <w:sz w:val="17"/>
          <w:szCs w:val="17"/>
          <w:color w:val="auto"/>
        </w:rPr>
        <w:t>Income tax expense (benefit) was $(2.1) million and $(0.5) million for the nine months ended June 30, 2023 and 2022, respectively. The effective tax rate for the nine months ended June 30, 2023 and 2022 was 1.8% and 0.2%, respectively. For the nine months ended June 30, 2023, the Company’s effective tax rate differs from the U.S. statutory tax rate of 21% primarily due to flow-through losses attributable to the Founder, AES Grid Stability, valuation allowances and foreign exchange gains. For the nine months ended June 30, 2022, the Company’s effective tax rate differs from the U.S. statutory tax rate of 21% primarily due to flow-through losses incurred prior to the IPO on November 1, 2021, and flow-through losses attributable to the Founders, AES Grid Stability and Siemens Industry, valuation allowances, and foreign exchange losses.</w:t>
      </w:r>
    </w:p>
    <w:p>
      <w:pPr>
        <w:spacing w:after="0" w:line="110"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As of each of June 30, 2023 and September 30, 2022, the Company does not believe it has any significant uncertain tax positions and therefore, has not recorded any unrecognized tax benefits.</w:t>
      </w:r>
    </w:p>
    <w:p>
      <w:pPr>
        <w:spacing w:after="0" w:line="89" w:lineRule="exact"/>
        <w:rPr>
          <w:sz w:val="20"/>
          <w:szCs w:val="20"/>
          <w:color w:val="auto"/>
        </w:rPr>
      </w:pPr>
    </w:p>
    <w:p>
      <w:pPr>
        <w:jc w:val="both"/>
        <w:ind w:left="80" w:firstLine="324"/>
        <w:spacing w:after="0" w:line="259" w:lineRule="auto"/>
        <w:rPr>
          <w:sz w:val="20"/>
          <w:szCs w:val="20"/>
          <w:color w:val="auto"/>
        </w:rPr>
      </w:pPr>
      <w:r>
        <w:rPr>
          <w:rFonts w:ascii="Arial" w:cs="Arial" w:eastAsia="Arial" w:hAnsi="Arial"/>
          <w:sz w:val="18"/>
          <w:szCs w:val="18"/>
          <w:color w:val="auto"/>
        </w:rPr>
        <w:t>The Company evaluates the realizability of its deferred tax assets on a quarterly basis and establishes valuation allowances when it is more-likely-than-not that all or a portion of a deferred tax asset may not be realized. As of June 30, 2023 and September 30, 2022, the Company had recorded a full valuation allowance against deferred tax assets on Fluence Energy, Inc. primarily related to its investment in Fluence Energy, LLC, as well as on certain foreign subsidiaries based on the weight of available evidence, including cumulative losses.</w:t>
      </w:r>
    </w:p>
    <w:p>
      <w:pPr>
        <w:spacing w:after="0" w:line="183" w:lineRule="exact"/>
        <w:rPr>
          <w:sz w:val="20"/>
          <w:szCs w:val="20"/>
          <w:color w:val="auto"/>
        </w:rPr>
      </w:pPr>
    </w:p>
    <w:p>
      <w:pPr>
        <w:ind w:left="480" w:hanging="39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Guarantees</w:t>
      </w:r>
    </w:p>
    <w:p>
      <w:pPr>
        <w:spacing w:after="0" w:line="158" w:lineRule="exact"/>
        <w:rPr>
          <w:sz w:val="20"/>
          <w:szCs w:val="20"/>
          <w:color w:val="auto"/>
        </w:rPr>
      </w:pPr>
    </w:p>
    <w:p>
      <w:pPr>
        <w:jc w:val="both"/>
        <w:ind w:left="80" w:firstLine="324"/>
        <w:spacing w:after="0" w:line="277" w:lineRule="auto"/>
        <w:rPr>
          <w:sz w:val="20"/>
          <w:szCs w:val="20"/>
          <w:color w:val="auto"/>
        </w:rPr>
      </w:pPr>
      <w:r>
        <w:rPr>
          <w:rFonts w:ascii="Arial" w:cs="Arial" w:eastAsia="Arial" w:hAnsi="Arial"/>
          <w:sz w:val="18"/>
          <w:szCs w:val="18"/>
          <w:color w:val="auto"/>
        </w:rPr>
        <w:t>As of June 30, 2023, the Company had outstanding bank guarantees, parent guarantees and surety bonds issued as performance security arrangements for a number of our customer projects. These contractual commitments are all accounted for off balance sheet.</w:t>
      </w:r>
    </w:p>
    <w:p>
      <w:pPr>
        <w:spacing w:after="0" w:line="103" w:lineRule="exact"/>
        <w:rPr>
          <w:sz w:val="20"/>
          <w:szCs w:val="20"/>
          <w:color w:val="auto"/>
        </w:rPr>
      </w:pPr>
    </w:p>
    <w:p>
      <w:pPr>
        <w:jc w:val="both"/>
        <w:ind w:left="80" w:firstLine="324"/>
        <w:spacing w:after="0" w:line="286" w:lineRule="auto"/>
        <w:rPr>
          <w:sz w:val="20"/>
          <w:szCs w:val="20"/>
          <w:color w:val="auto"/>
        </w:rPr>
      </w:pPr>
      <w:r>
        <w:rPr>
          <w:rFonts w:ascii="Arial" w:cs="Arial" w:eastAsia="Arial" w:hAnsi="Arial"/>
          <w:sz w:val="17"/>
          <w:szCs w:val="17"/>
          <w:color w:val="auto"/>
        </w:rPr>
        <w:t>The following table summarizes contingent contractual obligations as of June 30, 2023. Amounts presented in the following table represent the Company's current undiscounted exposure to guarantees and the range of maximum undiscounted potential exposure. The maximum exposure is not reduced by the amounts, if any, that could be recovered under the recourse or collateralization provisions in the guarantees.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jc w:val="center"/>
              <w:ind w:left="330"/>
              <w:spacing w:after="0" w:line="198" w:lineRule="exact"/>
              <w:rPr>
                <w:sz w:val="20"/>
                <w:szCs w:val="20"/>
                <w:color w:val="auto"/>
              </w:rPr>
            </w:pPr>
            <w:r>
              <w:rPr>
                <w:rFonts w:ascii="Arial" w:cs="Arial" w:eastAsia="Arial" w:hAnsi="Arial"/>
                <w:sz w:val="18"/>
                <w:szCs w:val="18"/>
                <w:b w:val="1"/>
                <w:bCs w:val="1"/>
                <w:color w:val="auto"/>
                <w:w w:val="91"/>
              </w:rPr>
              <w:t>Amount</w:t>
            </w:r>
          </w:p>
        </w:tc>
        <w:tc>
          <w:tcPr>
            <w:tcW w:w="1540" w:type="dxa"/>
            <w:vAlign w:val="bottom"/>
            <w:tcBorders>
              <w:top w:val="single" w:sz="8" w:color="auto"/>
            </w:tcBorders>
          </w:tcPr>
          <w:p>
            <w:pPr>
              <w:jc w:val="center"/>
              <w:ind w:left="10"/>
              <w:spacing w:after="0" w:line="198" w:lineRule="exact"/>
              <w:rPr>
                <w:sz w:val="20"/>
                <w:szCs w:val="20"/>
                <w:color w:val="auto"/>
              </w:rPr>
            </w:pPr>
            <w:r>
              <w:rPr>
                <w:rFonts w:ascii="Arial" w:cs="Arial" w:eastAsia="Arial" w:hAnsi="Arial"/>
                <w:sz w:val="18"/>
                <w:szCs w:val="18"/>
                <w:b w:val="1"/>
                <w:bCs w:val="1"/>
                <w:color w:val="auto"/>
                <w:w w:val="93"/>
              </w:rPr>
              <w:t>Number of</w:t>
            </w:r>
          </w:p>
        </w:tc>
        <w:tc>
          <w:tcPr>
            <w:tcW w:w="3160" w:type="dxa"/>
            <w:vAlign w:val="bottom"/>
            <w:tcBorders>
              <w:top w:val="single" w:sz="8" w:color="auto"/>
            </w:tcBorders>
            <w:gridSpan w:val="2"/>
          </w:tcPr>
          <w:p>
            <w:pPr>
              <w:jc w:val="center"/>
              <w:ind w:left="90"/>
              <w:spacing w:after="0" w:line="198" w:lineRule="exact"/>
              <w:rPr>
                <w:sz w:val="20"/>
                <w:szCs w:val="20"/>
                <w:color w:val="auto"/>
              </w:rPr>
            </w:pPr>
            <w:r>
              <w:rPr>
                <w:rFonts w:ascii="Arial" w:cs="Arial" w:eastAsia="Arial" w:hAnsi="Arial"/>
                <w:sz w:val="18"/>
                <w:szCs w:val="18"/>
                <w:b w:val="1"/>
                <w:bCs w:val="1"/>
                <w:color w:val="auto"/>
                <w:w w:val="91"/>
              </w:rPr>
              <w:t>Maximum Exposure Range for Each</w:t>
            </w:r>
          </w:p>
        </w:tc>
      </w:tr>
      <w:tr>
        <w:trPr>
          <w:trHeight w:val="23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Contractual Obligations</w:t>
            </w:r>
          </w:p>
        </w:tc>
        <w:tc>
          <w:tcPr>
            <w:tcW w:w="22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i w:val="1"/>
                <w:iCs w:val="1"/>
                <w:color w:val="auto"/>
                <w:w w:val="96"/>
              </w:rPr>
              <w:t>(in $ millions)</w:t>
            </w:r>
          </w:p>
        </w:tc>
        <w:tc>
          <w:tcPr>
            <w:tcW w:w="15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Agreements</w:t>
            </w:r>
          </w:p>
        </w:tc>
        <w:tc>
          <w:tcPr>
            <w:tcW w:w="316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w w:val="93"/>
              </w:rPr>
              <w:t xml:space="preserve">Agreement </w:t>
            </w:r>
            <w:r>
              <w:rPr>
                <w:rFonts w:ascii="Arial" w:cs="Arial" w:eastAsia="Arial" w:hAnsi="Arial"/>
                <w:sz w:val="18"/>
                <w:szCs w:val="18"/>
                <w:i w:val="1"/>
                <w:iCs w:val="1"/>
                <w:color w:val="auto"/>
                <w:w w:val="93"/>
              </w:rPr>
              <w:t>(in millions)</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Guarantees and commitments</w:t>
            </w:r>
          </w:p>
        </w:tc>
        <w:tc>
          <w:tcPr>
            <w:tcW w:w="2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0"/>
              </w:rPr>
              <w:t>$1,579</w:t>
            </w:r>
          </w:p>
        </w:tc>
        <w:tc>
          <w:tcPr>
            <w:tcW w:w="1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- 445.8</w:t>
            </w: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Letters of credit under the bilateral credit facility</w:t>
            </w:r>
          </w:p>
        </w:tc>
        <w:tc>
          <w:tcPr>
            <w:tcW w:w="2200" w:type="dxa"/>
            <w:vAlign w:val="bottom"/>
          </w:tcPr>
          <w:p>
            <w:pPr>
              <w:jc w:val="center"/>
              <w:ind w:left="330"/>
              <w:spacing w:after="0"/>
              <w:rPr>
                <w:sz w:val="20"/>
                <w:szCs w:val="20"/>
                <w:color w:val="auto"/>
              </w:rPr>
            </w:pPr>
            <w:r>
              <w:rPr>
                <w:rFonts w:ascii="Arial" w:cs="Arial" w:eastAsia="Arial" w:hAnsi="Arial"/>
                <w:sz w:val="18"/>
                <w:szCs w:val="18"/>
                <w:color w:val="auto"/>
                <w:w w:val="89"/>
              </w:rPr>
              <w:t>97</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89"/>
              </w:rPr>
              <w:t>13</w:t>
            </w:r>
          </w:p>
        </w:tc>
        <w:tc>
          <w:tcPr>
            <w:tcW w:w="1520" w:type="dxa"/>
            <w:vAlign w:val="bottom"/>
          </w:tcPr>
          <w:p>
            <w:pPr>
              <w:jc w:val="right"/>
              <w:spacing w:after="0"/>
              <w:rPr>
                <w:sz w:val="20"/>
                <w:szCs w:val="20"/>
                <w:color w:val="auto"/>
              </w:rPr>
            </w:pPr>
            <w:r>
              <w:rPr>
                <w:rFonts w:ascii="Arial" w:cs="Arial" w:eastAsia="Arial" w:hAnsi="Arial"/>
                <w:sz w:val="18"/>
                <w:szCs w:val="18"/>
                <w:color w:val="auto"/>
              </w:rPr>
              <w:t>0</w:t>
            </w:r>
          </w:p>
        </w:tc>
        <w:tc>
          <w:tcPr>
            <w:tcW w:w="1640" w:type="dxa"/>
            <w:vAlign w:val="bottom"/>
          </w:tcPr>
          <w:p>
            <w:pPr>
              <w:ind w:left="20"/>
              <w:spacing w:after="0"/>
              <w:rPr>
                <w:sz w:val="20"/>
                <w:szCs w:val="20"/>
                <w:color w:val="auto"/>
              </w:rPr>
            </w:pPr>
            <w:r>
              <w:rPr>
                <w:rFonts w:ascii="Arial" w:cs="Arial" w:eastAsia="Arial" w:hAnsi="Arial"/>
                <w:sz w:val="18"/>
                <w:szCs w:val="18"/>
                <w:color w:val="auto"/>
              </w:rPr>
              <w:t>- 28.7</w:t>
            </w:r>
          </w:p>
        </w:tc>
      </w:tr>
      <w:tr>
        <w:trPr>
          <w:trHeight w:val="23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 under Revolver</w:t>
            </w:r>
          </w:p>
        </w:tc>
        <w:tc>
          <w:tcPr>
            <w:tcW w:w="2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35</w:t>
            </w:r>
          </w:p>
        </w:tc>
        <w:tc>
          <w:tcPr>
            <w:tcW w:w="1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27</w:t>
            </w:r>
          </w:p>
        </w:tc>
        <w:tc>
          <w:tcPr>
            <w:tcW w:w="316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0 - 7.7</w:t>
            </w:r>
          </w:p>
        </w:tc>
      </w:tr>
      <w:tr>
        <w:trPr>
          <w:trHeight w:val="23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Surety bonds</w:t>
            </w:r>
          </w:p>
        </w:tc>
        <w:tc>
          <w:tcPr>
            <w:tcW w:w="22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6"/>
              </w:rPr>
              <w:t>348</w:t>
            </w:r>
          </w:p>
        </w:tc>
        <w:tc>
          <w:tcPr>
            <w:tcW w:w="15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29</w:t>
            </w:r>
          </w:p>
        </w:tc>
        <w:tc>
          <w:tcPr>
            <w:tcW w:w="316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color w:val="auto"/>
              </w:rPr>
              <w:t>0 - 109.3</w:t>
            </w:r>
          </w:p>
        </w:tc>
      </w:tr>
      <w:tr>
        <w:trPr>
          <w:trHeight w:val="255"/>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0"/>
              </w:rPr>
              <w:t>$2,059</w:t>
            </w:r>
          </w:p>
        </w:tc>
        <w:tc>
          <w:tcPr>
            <w:tcW w:w="154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112</w:t>
            </w:r>
          </w:p>
        </w:tc>
        <w:tc>
          <w:tcPr>
            <w:tcW w:w="15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spacing w:after="0"/>
              <w:rPr>
                <w:sz w:val="21"/>
                <w:szCs w:val="21"/>
                <w:color w:val="auto"/>
              </w:rPr>
            </w:pP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80" w:firstLine="324"/>
        <w:spacing w:after="0" w:line="277" w:lineRule="auto"/>
        <w:rPr>
          <w:sz w:val="20"/>
          <w:szCs w:val="20"/>
          <w:color w:val="auto"/>
        </w:rPr>
      </w:pPr>
      <w:r>
        <w:rPr>
          <w:rFonts w:ascii="Arial" w:cs="Arial" w:eastAsia="Arial" w:hAnsi="Arial"/>
          <w:sz w:val="18"/>
          <w:szCs w:val="18"/>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58" w:lineRule="exact"/>
        <w:rPr>
          <w:sz w:val="20"/>
          <w:szCs w:val="20"/>
          <w:color w:val="auto"/>
        </w:rPr>
      </w:pPr>
    </w:p>
    <w:p>
      <w:pPr>
        <w:ind w:left="80" w:firstLine="324"/>
        <w:spacing w:after="0" w:line="277" w:lineRule="auto"/>
        <w:rPr>
          <w:sz w:val="20"/>
          <w:szCs w:val="20"/>
          <w:color w:val="auto"/>
        </w:rPr>
      </w:pPr>
      <w:r>
        <w:rPr>
          <w:rFonts w:ascii="Arial" w:cs="Arial" w:eastAsia="Arial" w:hAnsi="Arial"/>
          <w:sz w:val="18"/>
          <w:szCs w:val="18"/>
          <w:color w:val="auto"/>
        </w:rPr>
        <w:t>The Company has commitments for minimum volumes of purchases of battery modules under a master supply agreement. Liquidated damages apply if the minimum purchase volumes are not met. The Company expects to meet the</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minimum committed volumes of purchases. The following table presents our future minimum purchase commitments by fiscal year, primarily for battery modules, and liquidated damages, if the minimum purchase volumes are not met, as of June 30, 2023</w:t>
      </w:r>
      <w:r>
        <w:rPr>
          <w:rFonts w:ascii="Arial" w:cs="Arial" w:eastAsia="Arial" w:hAnsi="Arial"/>
          <w:sz w:val="21"/>
          <w:szCs w:val="21"/>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Purchase Commitments</w:t>
            </w:r>
          </w:p>
        </w:tc>
        <w:tc>
          <w:tcPr>
            <w:tcW w:w="26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Liquidated Damages</w:t>
            </w:r>
          </w:p>
        </w:tc>
      </w:tr>
      <w:tr>
        <w:trPr>
          <w:trHeight w:val="23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2024</w:t>
            </w:r>
          </w:p>
        </w:tc>
        <w:tc>
          <w:tcPr>
            <w:tcW w:w="26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1,412,117</w:t>
            </w:r>
          </w:p>
        </w:tc>
        <w:tc>
          <w:tcPr>
            <w:tcW w:w="2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121,738</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346,015</w:t>
            </w:r>
          </w:p>
        </w:tc>
        <w:tc>
          <w:tcPr>
            <w:tcW w:w="2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34,110</w:t>
            </w:r>
          </w:p>
        </w:tc>
      </w:tr>
      <w:tr>
        <w:trPr>
          <w:trHeight w:val="23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 and thereafter</w:t>
            </w:r>
          </w:p>
        </w:tc>
        <w:tc>
          <w:tcPr>
            <w:tcW w:w="26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36,450</w:t>
            </w: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w:t>
            </w:r>
          </w:p>
        </w:tc>
      </w:tr>
      <w:tr>
        <w:trPr>
          <w:trHeight w:val="255"/>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2,133,416</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172,178</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December 31, 2021, the Company made a $60.0 million advance payment as a capacity guarantee pursuant to a purchase agreement with one of our suppliers, of which, as of June 30, 2023, the balance of $36.5 million is recorded within “Current assets - Advances to suppliers” and no portion remains within “Non-current assets - Advances to suppliers” on the condensed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Negotiations with our Largest Battery Module Vendor</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w:t>
      </w:r>
    </w:p>
    <w:p>
      <w:pPr>
        <w:spacing w:after="0" w:line="10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On December 15, 2022, we finalized an agreement with the vendor, amending the supply agreement and resolving our claims. The amendments and settlement were consistent with what we had estimated and disclosed in our consolidated financial statements in our 2022 Annual Report. The approximately $19.5 million settlement for our claims was recognized as a reduction of costs of goods and services for the nine months ended June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party to both assurance and service-type warranties for various lengths of time. The Company recognizes revenue for service-type warranties using either a straight-line or cost-to-cost method depending on the contract. Extended warranties that customers purchase separately from the related products and services are accounted for as separate performance obligations.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a limited warranty related to the successful operation of battery-based energy storage products and solutions, apart from the service 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and solutions.</w:t>
      </w:r>
    </w:p>
    <w:p>
      <w:pPr>
        <w:spacing w:after="0" w:line="1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assurance-type warranties, we accrue an estimate of future warranty liability cost over the period of construction, consistent with transfer of control and revenue recognition on the equipment or battery-based energy storage products as part of our estimated recurring warranty reserve. Furthermore, we accrue the estimated liability cost of specific reserves or recalls when they are probable and estimable if identified. Our assurance type warranties are often backed by supplier covered warranties. We record a recoverable asset for any specific reserves or recalls when it is probable and estimable that the supplier will reimburse us for the expense.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Warranty expense is recorded as a component of “Costs of goods and services” in the Company’s condensed consolidated statements of operations.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and September 30, 2022, the Company accrued the below estimated warranty liabilities of $13.5 million and $1.6 million,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June 30, 2023</w:t>
            </w:r>
          </w:p>
        </w:tc>
        <w:tc>
          <w:tcPr>
            <w:tcW w:w="40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beginning</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Warranty issued and assumed in period - specific campaigns</w:t>
            </w:r>
          </w:p>
        </w:tc>
        <w:tc>
          <w:tcPr>
            <w:tcW w:w="620" w:type="dxa"/>
            <w:vAlign w:val="bottom"/>
          </w:tcPr>
          <w:p>
            <w:pPr>
              <w:spacing w:after="0"/>
              <w:rPr>
                <w:sz w:val="19"/>
                <w:szCs w:val="19"/>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recurring product warranty</w:t>
            </w:r>
          </w:p>
        </w:tc>
        <w:tc>
          <w:tcPr>
            <w:tcW w:w="62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3,565</w:t>
            </w:r>
          </w:p>
        </w:tc>
        <w:tc>
          <w:tcPr>
            <w:tcW w:w="40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Change in estimates</w:t>
            </w:r>
          </w:p>
        </w:tc>
        <w:tc>
          <w:tcPr>
            <w:tcW w:w="620" w:type="dxa"/>
            <w:vAlign w:val="bottom"/>
          </w:tcPr>
          <w:p>
            <w:pPr>
              <w:spacing w:after="0"/>
              <w:rPr>
                <w:sz w:val="19"/>
                <w:szCs w:val="19"/>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8,287</w:t>
            </w: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Net changes in liability for pre-existing warranties, included expirations and</w:t>
            </w:r>
          </w:p>
        </w:tc>
        <w:tc>
          <w:tcPr>
            <w:tcW w:w="620" w:type="dxa"/>
            <w:vAlign w:val="bottom"/>
            <w:shd w:val="clear" w:color="auto" w:fill="CCEEFF"/>
          </w:tcPr>
          <w:p>
            <w:pPr>
              <w:spacing w:after="0"/>
              <w:rPr>
                <w:sz w:val="15"/>
                <w:szCs w:val="15"/>
                <w:color w:val="auto"/>
              </w:rPr>
            </w:pPr>
          </w:p>
        </w:tc>
        <w:tc>
          <w:tcPr>
            <w:tcW w:w="2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5"/>
                <w:szCs w:val="15"/>
                <w:color w:val="auto"/>
              </w:rPr>
            </w:pPr>
          </w:p>
        </w:tc>
        <w:tc>
          <w:tcPr>
            <w:tcW w:w="2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impact</w:t>
            </w:r>
          </w:p>
        </w:tc>
        <w:tc>
          <w:tcPr>
            <w:tcW w:w="620" w:type="dxa"/>
            <w:vAlign w:val="bottom"/>
            <w:shd w:val="clear" w:color="auto" w:fill="CCEEFF"/>
          </w:tcPr>
          <w:p>
            <w:pPr>
              <w:spacing w:after="0"/>
              <w:rPr>
                <w:sz w:val="21"/>
                <w:szCs w:val="21"/>
                <w:color w:val="auto"/>
              </w:rPr>
            </w:pPr>
          </w:p>
        </w:tc>
        <w:tc>
          <w:tcPr>
            <w:tcW w:w="222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costs incurred and settlements</w:t>
            </w:r>
          </w:p>
        </w:tc>
        <w:tc>
          <w:tcPr>
            <w:tcW w:w="6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ending</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13,518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8"/>
                <w:szCs w:val="18"/>
                <w:color w:val="auto"/>
              </w:rPr>
              <w:t xml:space="preserve">Less: supplier recoveries balance at end of period </w:t>
            </w:r>
            <w:r>
              <w:rPr>
                <w:rFonts w:ascii="Arial" w:cs="Arial" w:eastAsia="Arial" w:hAnsi="Arial"/>
                <w:sz w:val="23"/>
                <w:szCs w:val="23"/>
                <w:color w:val="auto"/>
                <w:vertAlign w:val="superscript"/>
              </w:rPr>
              <w:t>(a)</w:t>
            </w:r>
          </w:p>
        </w:tc>
        <w:tc>
          <w:tcPr>
            <w:tcW w:w="6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Warranty balance, net of supplier recoveries, at end of period</w:t>
            </w:r>
          </w:p>
        </w:tc>
        <w:tc>
          <w:tcPr>
            <w:tcW w:w="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13,518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The supplier recoveries are recorded in other current assets on the balance sheet.</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March 31, 2023, the Company updated its estimation model for calculating the recurring warranty reserve rate, which is a key input into our estimated assurance warranty liability.</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Our Safety and Quality department has primary responsibility to determine the estimated failure rates for each generation of product.</w:t>
      </w:r>
    </w:p>
    <w:p>
      <w:pPr>
        <w:spacing w:after="0" w:line="11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key inputs and assumptions used in calculating the estimated assurance warranty liability are reviewed by management on as needed basis. We may make additional adjustments to the estimated assurance warranty liability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which may be material. As we are in a rapidly evolving market there is higher degree of estimation uncertainty regarding our estimated recurring warranty accrual 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Overheating Event at Customer Facility</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fiscal year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Overheating Event at Customer Facility</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Related-Party Transactions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parties are represented by AES and Siemens, their respective subsidiaries and other entities under common control. As of June 30, 2023, AES, holds 58,586,695 shares of Class B-1 common stock of Fluence Energy, Inc. and Siemens beneficially owns an aggregate of 58,586,695 of Class A common stock of Fluence Energy,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from Related Parties</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August 11, 2021, the Company borrowed $25.0 million each from AES and Siemens, in the form of subordinated promissory notes, each bearing interest at 2.86% per annum. The promissory notes were paid off in full on November 1, 2021 using proceeds from the IPO. All related party borrowings were for general working capital needs. There were no new related party borrowings during the three and nine months ended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Procurement Contracts with Related Parties</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signs back-to-back battery-based energy storage product and related service contracts with AES, Siemens, and their subsidiaries (collectively referred to as affiliates) in relation to execution of the affiliates’ contracts with external customers and also signs direct contracts with affiliates.</w:t>
      </w:r>
    </w:p>
    <w:p>
      <w:pPr>
        <w:spacing w:after="0" w:line="11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 xml:space="preserve">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w:t>
      </w:r>
      <w:r>
        <w:rPr>
          <w:rFonts w:ascii="Arial" w:cs="Arial" w:eastAsia="Arial" w:hAnsi="Arial"/>
          <w:sz w:val="18"/>
          <w:szCs w:val="18"/>
          <w:i w:val="1"/>
          <w:iCs w:val="1"/>
          <w:color w:val="auto"/>
        </w:rPr>
        <w:t>Disaggregation of revenue</w:t>
      </w:r>
      <w:r>
        <w:rPr>
          <w:rFonts w:ascii="Arial" w:cs="Arial" w:eastAsia="Arial" w:hAnsi="Arial"/>
          <w:sz w:val="18"/>
          <w:szCs w:val="18"/>
          <w:color w:val="auto"/>
        </w:rPr>
        <w:t xml:space="preserve"> table in Note 3 -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Revenue from the consulting services is primarily recognized ratably over time based on a project specific period of performance in which we expect the performance obligation to be fulfilled. For the nine-months ended June 30, 2023, we have recognized $10.9 million in revenue from consulting services with related parties.</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contracts with affiliates is included in “Revenue from related parties” on the Company’s condensed consolidated statements of operations and comprehensive loss.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Company purchases materials and supplies from its affiliates and records the costs in “Cost of goods and services” on the Company’s condensed consolidated statements of operations and comprehensive loss.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 with Affiliates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Fluence and its affiliates have signed service agreements under which affiliates provide certain administrative services to Fluence. The services include but are not limited to, treasury, information technology services, sales services, and research and development. Cost of services are accrued monthly and included in “Payables and deferred revenue with related parties”, and “General and administrative”, “Sales and marketing”, or “Research and development” on the Company’s condensed consolidated balance sheets and statements of operations and comprehensive loss,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Performance Guarantees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obligations under certain contracts with Fluence’s customers, which are based on the affiliates’ weighted-average cost for bank guarantees and their per annum cost of surety bonds with a reasonable markup. The guarantee fees are included in “Costs of goods and services” on Fluence’s condensed consolidated statements of operations and comprehensive loss.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Related Party Transactions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condensed consolidated balance sheet included the following transactions with related parties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June 30, 2023</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September 30, 2022</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91,879</w:t>
            </w:r>
          </w:p>
        </w:tc>
      </w:tr>
      <w:tr>
        <w:trPr>
          <w:trHeight w:val="229"/>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Unbilled receivables</w:t>
            </w:r>
          </w:p>
        </w:tc>
        <w:tc>
          <w:tcPr>
            <w:tcW w:w="15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45,944</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20,148</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related parties</w:t>
            </w:r>
          </w:p>
        </w:tc>
        <w:tc>
          <w:tcPr>
            <w:tcW w:w="156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58,971</w:t>
            </w:r>
          </w:p>
        </w:tc>
        <w:tc>
          <w:tcPr>
            <w:tcW w:w="3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112,027</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Advances to Suppliers - short-term</w:t>
            </w:r>
          </w:p>
        </w:tc>
        <w:tc>
          <w:tcPr>
            <w:tcW w:w="1560" w:type="dxa"/>
            <w:vAlign w:val="bottom"/>
          </w:tcPr>
          <w:p>
            <w:pPr>
              <w:spacing w:after="0"/>
              <w:rPr>
                <w:sz w:val="19"/>
                <w:szCs w:val="19"/>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21,573</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Advances to Suppliers - long-term</w:t>
            </w:r>
          </w:p>
        </w:tc>
        <w:tc>
          <w:tcPr>
            <w:tcW w:w="15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advances to suppliers with related parties</w:t>
            </w:r>
          </w:p>
        </w:tc>
        <w:tc>
          <w:tcPr>
            <w:tcW w:w="15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21,573</w:t>
            </w: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56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c>
          <w:tcPr>
            <w:tcW w:w="3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560" w:type="dxa"/>
            <w:vAlign w:val="bottom"/>
          </w:tcPr>
          <w:p>
            <w:pPr>
              <w:spacing w:after="0"/>
              <w:rPr>
                <w:sz w:val="19"/>
                <w:szCs w:val="19"/>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150,300</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300,697</w:t>
            </w:r>
          </w:p>
        </w:tc>
      </w:tr>
      <w:tr>
        <w:trPr>
          <w:trHeight w:val="237"/>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56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6,362</w:t>
            </w:r>
          </w:p>
        </w:tc>
        <w:tc>
          <w:tcPr>
            <w:tcW w:w="3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payables and deferred revenue with related parties</w:t>
            </w: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158,817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306,348</w:t>
            </w:r>
          </w:p>
        </w:tc>
      </w:tr>
    </w:tbl>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Related Party Transactions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condensed consolidated statements of operations and comprehensive loss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Three Months Ended June 30,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5"/>
              </w:rPr>
              <w:t>Nine Months Ended June 30,</w:t>
            </w:r>
          </w:p>
        </w:tc>
      </w:tr>
      <w:tr>
        <w:trPr>
          <w:trHeight w:val="41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497,771</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(16,510)</w:t>
            </w: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bl>
    <w:p>
      <w:pPr>
        <w:spacing w:after="0" w:line="67"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 xml:space="preserve">Refer to Note 2 - </w:t>
      </w:r>
      <w:r>
        <w:rPr>
          <w:rFonts w:ascii="Arial" w:cs="Arial" w:eastAsia="Arial" w:hAnsi="Arial"/>
          <w:sz w:val="18"/>
          <w:szCs w:val="18"/>
          <w:i w:val="1"/>
          <w:iCs w:val="1"/>
          <w:color w:val="auto"/>
        </w:rPr>
        <w:t>Summary of Significant Accounting Policies and Estimates</w:t>
      </w:r>
      <w:r>
        <w:rPr>
          <w:rFonts w:ascii="Arial" w:cs="Arial" w:eastAsia="Arial" w:hAnsi="Arial"/>
          <w:sz w:val="18"/>
          <w:szCs w:val="18"/>
          <w:color w:val="auto"/>
        </w:rPr>
        <w:t xml:space="preserve"> for details of the related party guarantees associated with the supply chain financing program.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Plan</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2020, the Company established the 2020 Unit Option Plan (the “Option Plan”) whereby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The Company estimated the fair value of the awards using the Black-Scholes option-pricing model. The outstanding awards will continue to be governed by their existing terms under the Option Plan. The Option Plan is accounted for as an equity plan. We do not expect to make any further awards under the Option Plan.</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5,911,672 stock options with an exercise price of $2.45 remain outstanding. The Option Plan has unrecognized stock compensation expense of $0.5 million as of June 30, 2023.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Employees, directors, and consultants were granted compensation under the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The outstanding awards relate to a modification previously made at the time of the IPO related to awards granted to the Company’s officers. We do not expect to make any further awards under the Phantom Incentive Plan.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256,935 phantom unit awards previously issued remained outstanding. The Phantom Incentive Plan has unrecognized stock compensation expense of $2.4 million as of June 30, 2023.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Plan</w:t>
      </w:r>
    </w:p>
    <w:p>
      <w:pPr>
        <w:spacing w:after="0" w:line="15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During fiscal year 2021, the Company established the 2021 Incentive Award Plan (the “2021 Incentive Plan”) which reserves 9,500,000 shares of Class A common stock of Fluence Energy, Inc. for issuance to management, other employees, consultants, and board members of the Company. The 2021 Incentive Plan governs both equity-based and cash-based awards, including incentive stock options and restricted stock units (“RSUs”). Employee stock-based awards issued pursuant to the 2021 Incentive Plan that are expected to be settled by issuing shares of Class A common stock are recorded as equity awards. The 2021 Incentive Plan is accounted for as an equity plan. The awards vest ratably at one-third annually on the anniversary of the grant date over a three-year period. The Company generally expenses the grant date fair value of the awards on a straight-line basis over each of the three separately vesting tranches within a given grant. The Company accounts for forfeitures as they occur. During the three months ended June 30, 2023, the Company granted 229,386 RSUs under the 2021 Incentive Award Plan. The weighted-average grant date fair value for the RSUs was $21.05.</w:t>
      </w:r>
    </w:p>
    <w:p>
      <w:pPr>
        <w:spacing w:after="0" w:line="17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As of June 30, 2023, 1,963,673 RSUs previously issued remained outstanding. The 2021 Incentive Plan has unrecognized stock compensation expense of $20.0 million as of June 30, 2023.</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stock-based compensation expense by financial statement line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5"/>
              </w:rPr>
              <w:t>Three Months Ended June 30,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5"/>
              </w:rPr>
              <w:t>Nine Months Ended June 30,</w:t>
            </w:r>
          </w:p>
        </w:tc>
      </w:tr>
      <w:tr>
        <w:trPr>
          <w:trHeight w:val="23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8"/>
              </w:rPr>
              <w:t>2,604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left="490"/>
              <w:spacing w:after="0"/>
              <w:rPr>
                <w:sz w:val="20"/>
                <w:szCs w:val="20"/>
                <w:color w:val="auto"/>
              </w:rPr>
            </w:pPr>
            <w:r>
              <w:rPr>
                <w:rFonts w:ascii="Arial" w:cs="Arial" w:eastAsia="Arial" w:hAnsi="Arial"/>
                <w:sz w:val="18"/>
                <w:szCs w:val="18"/>
                <w:color w:val="auto"/>
                <w:w w:val="88"/>
              </w:rPr>
              <w:t>2,270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4,261</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5,607</w:t>
            </w:r>
          </w:p>
        </w:tc>
      </w:tr>
      <w:tr>
        <w:trPr>
          <w:trHeight w:val="236"/>
        </w:trPr>
        <w:tc>
          <w:tcPr>
            <w:tcW w:w="49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1"/>
              </w:rPr>
              <w:t>(1,126)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2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8"/>
              </w:rPr>
              <w:t>3,649</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w:t>
            </w:r>
          </w:p>
        </w:tc>
      </w:tr>
      <w:tr>
        <w:trPr>
          <w:trHeight w:val="255"/>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4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88"/>
              </w:rPr>
              <w:t>7,397</w:t>
            </w:r>
          </w:p>
        </w:tc>
        <w:tc>
          <w:tcPr>
            <w:tcW w:w="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35,002</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71"/>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7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8"/>
        <w:spacing w:after="0" w:line="273" w:lineRule="auto"/>
        <w:tabs>
          <w:tab w:leader="none" w:pos="219"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reduction of stock based compensation expense for sales and marketing for the three months ended June 30, 2022 was the result of a market-to-market fair value adjustment of our liability classified awards which was driven by our stock price decrease during the three months ended June 30, 2022.</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Plan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11, 2022, the board of directors of the Company approved a restructuring plan to create a more sustainable organization structure for long-term growth. As part of this plan, we have and are continuing to relocate certain positions at high-cost locations to the Fluence India Technology Centre. We expect that the restructuring plan will be complete by the end of fiscal year 2023. Management has the authority to expand the plan as determined necessary. As of June 30, 2023, for the three and nine months ended, we have incurred approximately $2.0 million and $5.4 million of costs related to the restructuring plan, which is inclusive of severance.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Investment in Joint Venture</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and the joint venture commenced operations in the first quarter of fiscal year 2023. The investment is recorded in “</w:t>
      </w:r>
      <w:r>
        <w:rPr>
          <w:rFonts w:ascii="Arial" w:cs="Arial" w:eastAsia="Arial" w:hAnsi="Arial"/>
          <w:sz w:val="16"/>
          <w:szCs w:val="16"/>
          <w:i w:val="1"/>
          <w:iCs w:val="1"/>
          <w:color w:val="auto"/>
        </w:rPr>
        <w:t>Other non-current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on our condensed consolidated balance sheet. The investment is accounted for under the equity method with results being reported by Fluence one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in arrears. The joint venture is not considered a variable interest entity and we do not consolidate the joint venture as we do not hold a controlling financial interest. We recorded an insignificant equity method loss on the investment for the nine months ended June 30, 2023.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provides information that management believes is relevant to an assessment and understanding of the consolidated financial condition and results of operations of Fluence and should be read in conjunction with the accompanying consolidated financial statements and related notes thereto included in this Quarterly Report on Form 10-Q (this “Report”) and in conjunction with our audited consolidated financial statements and related notes included in our Annual Report on Form 10-K for the fiscal year ended September 30, 2022 filed with the Securities and Exchange Commission (the “SEC”) on December 14, 2022 (the “2022 Annual Report”).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our initial public offering (the “IPO”) and a series of organization transactions (collectively with the IPO, the “Transactions”) on November 1, 2021, Fluence Energy, Inc. became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spacing w:after="0" w:line="107" w:lineRule="exact"/>
        <w:rPr>
          <w:sz w:val="20"/>
          <w:szCs w:val="20"/>
          <w:color w:val="auto"/>
        </w:rPr>
      </w:pPr>
    </w:p>
    <w:p>
      <w:pPr>
        <w:ind w:right="260" w:firstLine="324"/>
        <w:spacing w:after="0" w:line="414" w:lineRule="auto"/>
        <w:rPr>
          <w:sz w:val="20"/>
          <w:szCs w:val="20"/>
          <w:color w:val="auto"/>
        </w:rPr>
      </w:pPr>
      <w:r>
        <w:rPr>
          <w:rFonts w:ascii="Arial" w:cs="Arial" w:eastAsia="Arial" w:hAnsi="Arial"/>
          <w:sz w:val="18"/>
          <w:szCs w:val="18"/>
          <w:color w:val="auto"/>
        </w:rPr>
        <w:t xml:space="preserve">Our fiscal year begins on October 1 and ends on September 30. References to “fiscal year 2022” refers to the fiscal year ended September 30, 2022. </w:t>
      </w:r>
      <w:r>
        <w:rPr>
          <w:rFonts w:ascii="Arial" w:cs="Arial" w:eastAsia="Arial" w:hAnsi="Arial"/>
          <w:sz w:val="18"/>
          <w:szCs w:val="18"/>
          <w:b w:val="1"/>
          <w:bCs w:val="1"/>
          <w:color w:val="auto"/>
        </w:rPr>
        <w:t>Negotiations with our Largest Battery Module Vendor</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w:t>
      </w:r>
    </w:p>
    <w:p>
      <w:pPr>
        <w:spacing w:after="0" w:line="11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December 15, 2022, we finalized an agreement with the vendor, amending the supply agreement and resolving our claims. The amendments and settlement were consistent with what we had estimated and disclosed in our 2022 consolidated financial statements in our 2022 Annual Report. As part of the finalized agreement, we agreed to take on an additional scope of work related to commissioning the battery modules installed. The approximately $19.5 million settlement for our claims was recognized as a reduction of costs of goods and services for the nine months ended June 30,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Cargo Loss Incident</w:t>
      </w:r>
    </w:p>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fiscal year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 to replace the damaged cargo. We received an aggregate of $10.0 million insurance proceeds related to non-disputed claims, $7.5 million of which was collected in October 2021 and the remaining $2.5 million was collected in April 2022. As of June 30, 2023, we expect to continue to incur legal fees as plaintiff in the pending matter relating to this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Overheating Event at Customer Facility</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Overheating Event at Customer Facility</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 and solutions.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Plan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11, 2022, the board of directors of the Company approved a restructuring plan to create a more sustainable organization structure for long term growth. As part of this plan, we have and are continuing to relocate certain positions at high-cost locations to the Fluence India Technology Centre. We expect that the restructuring plan will be complete by the end of fiscal year 2023. Management has the authority to expand the plan as determined necessary. As of June 30, 2023, for the three and nine months ended, we have incurred $1.1 million and $3.3 million in severance costs related to the plan and an additional $0.8 million and $2.1 million in consulting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in the first quarter of fiscal year 2023. The joint venture commenced operations during the first fiscal quarter of fiscal year 2023 and began hiring staff. We recorded an insignificant equity method loss on the investment for the nine months ended June 30,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Performance</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those in Part I, Item 1A. “Risk Factors” in our 2022 Annual Report, in Part II, Item 1A. “Risk Factors” of the quarterly report on Form 10-Q for the period ended December 31, 2022, Part II, Item 1A. “Risk Factors” of the quarterly report on Form 10-Q for the period ended March 31, 2023, and Part II, Item 1A. “Risk Factors” of this Report.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Lithium-ion Battery Cost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growth is directly tied to the continued adoption of energy storage products and solutions by our customers. The cost of lithium-ion energy storage hardware has declined significantly in the last decade and has resulted in a large addressable market today.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However, according to BloombergNEF’s 2022 (issued December 2022) battery price survey, higher raw material costs pushed the average price of lithium-ion battery packs up in calendar year 2022. The 2022 price increase marks the first annual increase in price since at least 2010. The market for energy storage is rapidly evolving, and while we believe costs will continue to decline over the long term, there is no guarantee that they will decline or decline at the rates we expect. If costs do not continue to decline long term, this could adversely affect our ability to increase our revenue or grow our business. Considering the previous statement, we are seeing prices for lithium-ion decline in the most recent fiscal quarters in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as we anticipate and at the rate estimated by BloombergNEF.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market for our products and solutions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or if we are not able to compete as we expect, our revenue and ability to generate profits in the future may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experienced seasonality and see increased order intake in our third and fourth fiscal quarters (April – September), driven by demand in the Northern Hemisphere to install energy storage products and solutions before the summer of the following year. Combined third and fourth fiscal quarter order intake have historically accounted for 80% or more of our total intake each year. Revenue generation is typically significantly stronger in our third and fourth fiscal quarters as we provide the majority of our products and solutions to customers during these periods. However, as we and the market mature we are seeing less seasonality. Fiscal year 2022 third and fourth quarter order intake accounted for only 48% of our total intake for the year.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Compliance</w:t>
      </w:r>
    </w:p>
    <w:p>
      <w:pPr>
        <w:spacing w:after="0" w:line="23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Governments across the globe have announced and implemented various policies, regulation and legislation to support the transition from fossil fuels to low-carbon forms of energy and to support and accelerate adoption of clean and/or reliable distributed generation technologies. The operation of our business and our customers’ use of our products and services are impacted by these various government actions. For example, in August 2022, the United States passed the Inflation Reduction Act of 2022 (the “IRA”), which consists of a number of provisions aimed directly at confronting the climate change crisis. Among other things, the IRA introduced an investment tax credit (ITC) for standalone energy storage and it contains provisions with incentives for grid modernization equipment including domestic battery cell manufacturing, battery module manufacturing and its components, as well as various upstream applications.</w:t>
      </w:r>
    </w:p>
    <w:p>
      <w:pPr>
        <w:spacing w:after="0" w:line="21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Although we generally are not regulated as a utility, federal, state, and local government statutes and regulations concerning electricity heavily influence the market for our product and services. These statutes and regulations, like the IRA, often relate to electricity pricing, transmission and distribution rates, net metering, incentives, taxation, competition with utilities and the interconnection of customer-owned electricity generation. We believe we are well positioned to capture incentives contained in the IRA and that its enactment is favorable to our business and our future operations. However, as this legislation was recently adopted in August 2022 and applicable U.S. Department of Treasury and Internal Revenue Service guidelines were published in the third quarter of fiscal year 2023, we have not yet seen the impact these IRA related incentives may have on our business, operations and financial performance as we go forward and cannot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guarantee we will realize anticipated benefits of incentives under the IRA. We are continuing to evaluate the overall impact and applicability of the IRA to our expected results of operations going forward.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certain line items in our condensed consolidated statements of operations and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We generate revenue from energy storage products and solutions,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and solutions. When we sell a battery-based energy storage product and solution, we enter into a contract with our customers covering the price, specifications, delivery dates and warranty for the products being purchased, among other things. The manner in which a solution is provided to a customer may vary, not all solutions may require Fluence to procure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batteries on behalf of a customer. A solution may only require logistics, design, installation and/or commission services depending on customer requirements. The Company also generates revenue by providing consulting services to AES whereby Fluence has agreed to advise, and in some cases provide support to AES, on procurement, logistics, design, safety and commissioning of certain of their projects.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 growth is dependent on continued growth in the amount of battery-based energy storage products and solutions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don’t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(loss) and gross profit margin may vary from quarter to quarter and are primarily affected by our sales volume, product prices, product costs, product mix, customer mix, geographical mix, shipping method, and seasonality.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of personnel-related costs across our global R&amp;D centers for engineers engaged in the design and development and testing of our integrated products and technologies. Engineering competencies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including a system-level testing facility in Pennsylvania that is used for quality assurance and the rapid iteration, testing, and launching of new Fluence energy storage technology and products. We are standing up an additional Hardware in the Loop (HIL) testing facility which is co-located with our technical team in Bangalore, India.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 expenses consist primarily of personnel-related expenses, including salaries, stock-based compensation, and employee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expand our sales presence and marketing efforts to additional countries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consists primarily of interest previously incurred on our now extinguished Line of Credit and Promissory Notes (each as defined below), borrowings against notes receivable pledged as collateral, unused line fees related to the revolving credit facility (the “Revolver”) pursuant to a credit agreement by and among Fluence Energy, LLC, as the borrower, Fluence Energy, Inc., as a parent guarantor, the subsidiary guarantors party thereto, the lenders party thereto and JP Morgan Chase Bank, N.A., as administrative agent and collateral agent (the “Credit Agreement”), and amortization of debt issuance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consists of income (expense) from foreign currency exchange adjustments for monetary assets and liabilities interest income on cash deposits, and interest income on customer notes receivables.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w:t>
      </w:r>
    </w:p>
    <w:p>
      <w:pPr>
        <w:spacing w:after="0" w:line="14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Historically, prior to our IPO, Fluence Energy, LLC was not subject to U.S. federal or state income tax. As such, Fluence Energy, LLC did not pay U.S. federal or state income tax, as taxable income or loss will be included in the U.S. tax returns of its members. Fluence Energy, LLC was subject to income taxes, including withholding taxes, outside the U.S. and our income tax expense (benefit) on the consolidated statements of operations primarily relates to income taxes from foreign operations, withholding taxes on intercompany royalties and changes in valuation allowances related to deferred tax assets of certain foreign subsidiaries. After our IPO, we are now subject to U.S. federal and state income taxes with respect to our allocable share of any taxable income or loss of Fluence Energy, LLC, and are taxed at the prevailing corporate tax rates. We will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4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following tables present our key operating metrics as of June 30, 2023 and September 30, 2022, and order intake for the three and nine months ended June 30, 2023 and 2022. The tables below present the metrics in either Gigawatts (GW) or Gigawatt hours (GWh). Our key operating metrics focus on project milestones to measure our performance and designate each project as either “deployed”, “assets under management”, “contracted” or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ind w:left="4600"/>
              <w:spacing w:after="0"/>
              <w:rPr>
                <w:sz w:val="20"/>
                <w:szCs w:val="20"/>
                <w:color w:val="auto"/>
              </w:rPr>
            </w:pPr>
            <w:r>
              <w:rPr>
                <w:rFonts w:ascii="Arial" w:cs="Arial" w:eastAsia="Arial" w:hAnsi="Arial"/>
                <w:sz w:val="18"/>
                <w:szCs w:val="18"/>
                <w:b w:val="1"/>
                <w:bCs w:val="1"/>
                <w:color w:val="auto"/>
                <w:w w:val="92"/>
              </w:rPr>
              <w:t>June 30, 2023</w:t>
            </w:r>
          </w:p>
        </w:tc>
        <w:tc>
          <w:tcPr>
            <w:tcW w:w="560" w:type="dxa"/>
            <w:vAlign w:val="bottom"/>
          </w:tcPr>
          <w:p>
            <w:pPr>
              <w:spacing w:after="0"/>
              <w:rPr>
                <w:sz w:val="20"/>
                <w:szCs w:val="20"/>
                <w:color w:val="auto"/>
              </w:rPr>
            </w:pPr>
          </w:p>
        </w:tc>
        <w:tc>
          <w:tcPr>
            <w:tcW w:w="2160" w:type="dxa"/>
            <w:vAlign w:val="bottom"/>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7"/>
        </w:trPr>
        <w:tc>
          <w:tcPr>
            <w:tcW w:w="5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 and Solutions</w:t>
            </w:r>
          </w:p>
        </w:tc>
        <w:tc>
          <w:tcPr>
            <w:tcW w:w="5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Deployed (GW)</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14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Deployed (GWh)</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Contracted Backlog (GW)</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0.8</w:t>
            </w:r>
          </w:p>
        </w:tc>
        <w:tc>
          <w:tcPr>
            <w:tcW w:w="14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(GW)</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6"/>
              </w:rPr>
              <w:t>11.5</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 (GWh)</w:t>
            </w: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29.8</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22.6</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2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2023</w:t>
            </w:r>
          </w:p>
        </w:tc>
        <w:tc>
          <w:tcPr>
            <w:tcW w:w="2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1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29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Assets under Management</w:t>
            </w:r>
          </w:p>
        </w:tc>
        <w:tc>
          <w:tcPr>
            <w:tcW w:w="29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2.0</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7"/>
              </w:rPr>
              <w:t>0.3</w:t>
            </w:r>
          </w:p>
        </w:tc>
        <w:tc>
          <w:tcPr>
            <w:tcW w:w="14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14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7"/>
              </w:rPr>
              <w:t>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w:t>
            </w:r>
          </w:p>
        </w:tc>
        <w:tc>
          <w:tcPr>
            <w:tcW w:w="14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1"/>
              </w:rPr>
              <w:t>(0.5)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2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2023</w:t>
            </w:r>
          </w:p>
        </w:tc>
        <w:tc>
          <w:tcPr>
            <w:tcW w:w="2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September 30, 2022</w:t>
            </w:r>
          </w:p>
        </w:tc>
        <w:tc>
          <w:tcPr>
            <w:tcW w:w="1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 %</w:t>
            </w:r>
          </w:p>
        </w:tc>
      </w:tr>
      <w:tr>
        <w:trPr>
          <w:trHeight w:val="237"/>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29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Assets under Management</w:t>
            </w:r>
          </w:p>
        </w:tc>
        <w:tc>
          <w:tcPr>
            <w:tcW w:w="296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2160" w:type="dxa"/>
            <w:vAlign w:val="bottom"/>
          </w:tcPr>
          <w:p>
            <w:pPr>
              <w:jc w:val="right"/>
              <w:ind w:right="190"/>
              <w:spacing w:after="0"/>
              <w:rPr>
                <w:sz w:val="20"/>
                <w:szCs w:val="20"/>
                <w:color w:val="auto"/>
              </w:rPr>
            </w:pPr>
            <w:r>
              <w:rPr>
                <w:rFonts w:ascii="Arial" w:cs="Arial" w:eastAsia="Arial" w:hAnsi="Arial"/>
                <w:sz w:val="18"/>
                <w:szCs w:val="18"/>
                <w:color w:val="auto"/>
              </w:rPr>
              <w:t>13.7</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7"/>
              </w:rPr>
              <w:t>0.7</w:t>
            </w:r>
          </w:p>
        </w:tc>
        <w:tc>
          <w:tcPr>
            <w:tcW w:w="14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2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144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7"/>
              </w:rPr>
              <w:t>2.6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Pipeline</w:t>
            </w:r>
          </w:p>
        </w:tc>
        <w:tc>
          <w:tcPr>
            <w:tcW w:w="2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19.4</w:t>
            </w:r>
          </w:p>
        </w:tc>
        <w:tc>
          <w:tcPr>
            <w:tcW w:w="2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19.6</w:t>
            </w:r>
          </w:p>
        </w:tc>
        <w:tc>
          <w:tcPr>
            <w:tcW w:w="14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1"/>
              </w:rPr>
              <w:t>(0.2)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bl>
    <w:p>
      <w:pPr>
        <w:spacing w:after="0" w:line="24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table below reflects adjustments made to the 2022 contracted figures reported for digital contracts as a result of enhanced internal control procedures implemented by management during our 2022 year end procedures. Previously, we reported digital contracted of 3.9 GW for the nine months ended June 30, 2022. Further, prior period metrics were previously presented in Megawatts (MW) for Energy Storage Products and Solutions, Service Contracts and Digital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2"/>
          </w:tcPr>
          <w:p>
            <w:pPr>
              <w:jc w:val="right"/>
              <w:ind w:right="110"/>
              <w:spacing w:after="0" w:line="189" w:lineRule="exact"/>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8"/>
                <w:szCs w:val="18"/>
                <w:b w:val="1"/>
                <w:bCs w:val="1"/>
                <w:color w:val="auto"/>
                <w:w w:val="91"/>
              </w:rPr>
              <w:t>Nine Months Ended June</w:t>
            </w:r>
          </w:p>
        </w:tc>
        <w:tc>
          <w:tcPr>
            <w:tcW w:w="10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29"/>
        </w:trPr>
        <w:tc>
          <w:tcPr>
            <w:tcW w:w="24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30,</w:t>
            </w: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(amounts in GW)</w:t>
            </w: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2022</w:t>
            </w: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 %</w:t>
            </w:r>
          </w:p>
        </w:tc>
        <w:tc>
          <w:tcPr>
            <w:tcW w:w="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 %</w:t>
            </w: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w w:val="94"/>
              </w:rPr>
              <w:t>Energy Storage Products and</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Solutions</w:t>
            </w:r>
          </w:p>
        </w:tc>
        <w:tc>
          <w:tcPr>
            <w:tcW w:w="1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Contracted</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Deployed represents cumulative energy storage products and solutions that have achieved substantial completion and are not decommissioned.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Deployed is monitored by management to measure our performance towards achieving project milestones.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2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Assets under management for service contracts represents our long-term service contracts with customers associated with our completed energy storage system products and solutions. We start providing maintenance, monitoring, or other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 Backlog</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Contracted/Order Intake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Contracted, which we use interchangeably with “Order Intake”, represents new energy storage product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revenues and enables evaluation of the effectiveness of the Company’s sales activity and the attractiveness of its offerings in the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Pipeline represents our uncontracted, potential revenue from energy storage products, service, and digital software contracts, which have a reasonable likelihood of contract execution within 24 months. Pipeline is an internal management metric that we construct from market information reported by our global sales force. Pipeline is monitored by management to understand the anticipated growth of our Company and our estimated future revenue related to customer contracts for our battery-based energy storage products and solutions, services and digital software.</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as anticipated or in a timely manner, we could experience a reduction in revenue, profitability,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contains references to certain non-GAAP financial measures, including Adjusted EBITDA, Adjusted Gross Profit (Loss), Adjusted Gross Profit Margin and Free Cash Flow.</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is calculated from the consolidated statements of operations using net income (loss) adjusted for (i) interest income (expense), net,</w:t>
      </w:r>
    </w:p>
    <w:p>
      <w:pPr>
        <w:spacing w:after="0" w:line="46" w:lineRule="exact"/>
        <w:rPr>
          <w:sz w:val="20"/>
          <w:szCs w:val="20"/>
          <w:color w:val="auto"/>
        </w:rPr>
      </w:pPr>
    </w:p>
    <w:p>
      <w:pPr>
        <w:ind w:firstLine="8"/>
        <w:spacing w:after="0" w:line="290" w:lineRule="auto"/>
        <w:tabs>
          <w:tab w:leader="none" w:pos="2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income taxes, (iii) depreciation and amortization, (iv) stock-based compensation, (v) other income or expenses and (vi) non-recurring income or expenses. Adjusted EBITDA may in the future also be adjusted for amounts impacting net income related to the Tax Receivable Agreement liability.</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Gross Profit (Loss) is calculated using gross profit (loss), adjusted to exclude (i) stock-based compensation expenses, (ii) amortization, (iii) certain other income or expenses, and (iv) non-recurring income or expenses. Adjusted Gross Profit Margin is calculated using Adjusted Gross Profit (Loss) divided by total revenue.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spacing w:after="0"/>
              <w:rPr>
                <w:sz w:val="20"/>
                <w:szCs w:val="20"/>
                <w:color w:val="auto"/>
              </w:rPr>
            </w:pPr>
          </w:p>
        </w:tc>
        <w:tc>
          <w:tcPr>
            <w:tcW w:w="230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2"/>
              </w:rPr>
              <w:t>Three Months Ended June 30,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7"/>
                <w:szCs w:val="17"/>
                <w:b w:val="1"/>
                <w:bCs w:val="1"/>
                <w:color w:val="auto"/>
                <w:w w:val="94"/>
              </w:rPr>
              <w:t>Nine Months Ended June 30,</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8"/>
        </w:trPr>
        <w:tc>
          <w:tcPr>
            <w:tcW w:w="2280" w:type="dxa"/>
            <w:vAlign w:val="bottom"/>
          </w:tcPr>
          <w:p>
            <w:pPr>
              <w:ind w:left="20"/>
              <w:spacing w:after="0"/>
              <w:rPr>
                <w:sz w:val="20"/>
                <w:szCs w:val="20"/>
                <w:color w:val="auto"/>
              </w:rPr>
            </w:pPr>
            <w:r>
              <w:rPr>
                <w:rFonts w:ascii="Arial" w:cs="Arial" w:eastAsia="Arial" w:hAnsi="Arial"/>
                <w:sz w:val="17"/>
                <w:szCs w:val="17"/>
                <w:i w:val="1"/>
                <w:iCs w:val="1"/>
                <w:color w:val="auto"/>
              </w:rPr>
              <w:t>($ in thousands)</w:t>
            </w:r>
          </w:p>
        </w:tc>
        <w:tc>
          <w:tcPr>
            <w:tcW w:w="240" w:type="dxa"/>
            <w:vAlign w:val="bottom"/>
          </w:tcPr>
          <w:p>
            <w:pPr>
              <w:spacing w:after="0"/>
              <w:rPr>
                <w:sz w:val="19"/>
                <w:szCs w:val="19"/>
                <w:color w:val="auto"/>
              </w:rPr>
            </w:pPr>
          </w:p>
        </w:tc>
        <w:tc>
          <w:tcPr>
            <w:tcW w:w="900" w:type="dxa"/>
            <w:vAlign w:val="bottom"/>
          </w:tcPr>
          <w:p>
            <w:pPr>
              <w:jc w:val="right"/>
              <w:ind w:right="335"/>
              <w:spacing w:after="0"/>
              <w:rPr>
                <w:sz w:val="20"/>
                <w:szCs w:val="20"/>
                <w:color w:val="auto"/>
              </w:rPr>
            </w:pPr>
            <w:r>
              <w:rPr>
                <w:rFonts w:ascii="Arial" w:cs="Arial" w:eastAsia="Arial" w:hAnsi="Arial"/>
                <w:sz w:val="17"/>
                <w:szCs w:val="17"/>
                <w:b w:val="1"/>
                <w:bCs w:val="1"/>
                <w:color w:val="auto"/>
              </w:rPr>
              <w:t>2023</w:t>
            </w:r>
          </w:p>
        </w:tc>
        <w:tc>
          <w:tcPr>
            <w:tcW w:w="30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w w:val="92"/>
              </w:rPr>
              <w:t>Change</w:t>
            </w:r>
          </w:p>
        </w:tc>
        <w:tc>
          <w:tcPr>
            <w:tcW w:w="112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 %</w:t>
            </w:r>
          </w:p>
        </w:tc>
        <w:tc>
          <w:tcPr>
            <w:tcW w:w="240" w:type="dxa"/>
            <w:vAlign w:val="bottom"/>
          </w:tcPr>
          <w:p>
            <w:pPr>
              <w:spacing w:after="0"/>
              <w:rPr>
                <w:sz w:val="19"/>
                <w:szCs w:val="19"/>
                <w:color w:val="auto"/>
              </w:rPr>
            </w:pPr>
          </w:p>
        </w:tc>
        <w:tc>
          <w:tcPr>
            <w:tcW w:w="900" w:type="dxa"/>
            <w:vAlign w:val="bottom"/>
          </w:tcPr>
          <w:p>
            <w:pPr>
              <w:jc w:val="right"/>
              <w:ind w:right="335"/>
              <w:spacing w:after="0"/>
              <w:rPr>
                <w:sz w:val="20"/>
                <w:szCs w:val="20"/>
                <w:color w:val="auto"/>
              </w:rPr>
            </w:pPr>
            <w:r>
              <w:rPr>
                <w:rFonts w:ascii="Arial" w:cs="Arial" w:eastAsia="Arial" w:hAnsi="Arial"/>
                <w:sz w:val="17"/>
                <w:szCs w:val="17"/>
                <w:b w:val="1"/>
                <w:bCs w:val="1"/>
                <w:color w:val="auto"/>
              </w:rPr>
              <w:t>2023</w:t>
            </w:r>
          </w:p>
        </w:tc>
        <w:tc>
          <w:tcPr>
            <w:tcW w:w="30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9"/>
                <w:szCs w:val="19"/>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b w:val="1"/>
                <w:bCs w:val="1"/>
                <w:color w:val="auto"/>
                <w:w w:val="92"/>
              </w:rPr>
              <w:t>Change</w:t>
            </w: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Change %</w:t>
            </w:r>
          </w:p>
        </w:tc>
      </w:tr>
      <w:tr>
        <w:trPr>
          <w:trHeight w:val="225"/>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(35,045)</w:t>
            </w:r>
          </w:p>
        </w:tc>
        <w:tc>
          <w:tcPr>
            <w:tcW w:w="3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(60,829)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25,784</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(109,636)</w:t>
            </w:r>
          </w:p>
        </w:tc>
        <w:tc>
          <w:tcPr>
            <w:tcW w:w="3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(232,992)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123,356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53 %</w:t>
            </w:r>
          </w:p>
        </w:tc>
      </w:tr>
      <w:tr>
        <w:trPr>
          <w:trHeight w:val="223"/>
        </w:trPr>
        <w:tc>
          <w:tcPr>
            <w:tcW w:w="2280" w:type="dxa"/>
            <w:vAlign w:val="bottom"/>
          </w:tcPr>
          <w:p>
            <w:pPr>
              <w:ind w:left="20"/>
              <w:spacing w:after="0"/>
              <w:rPr>
                <w:sz w:val="20"/>
                <w:szCs w:val="20"/>
                <w:color w:val="auto"/>
              </w:rPr>
            </w:pPr>
            <w:r>
              <w:rPr>
                <w:rFonts w:ascii="Arial" w:cs="Arial" w:eastAsia="Arial" w:hAnsi="Arial"/>
                <w:sz w:val="17"/>
                <w:szCs w:val="17"/>
                <w:color w:val="auto"/>
              </w:rPr>
              <w:t>Add (deduct):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22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w w:val="90"/>
              </w:rPr>
              <w:t>Interest expense (income), net</w:t>
            </w:r>
            <w:r>
              <w:rPr>
                <w:rFonts w:ascii="Arial" w:cs="Arial" w:eastAsia="Arial" w:hAnsi="Arial"/>
                <w:sz w:val="22"/>
                <w:szCs w:val="22"/>
                <w:i w:val="1"/>
                <w:iCs w:val="1"/>
                <w:color w:val="auto"/>
                <w:w w:val="90"/>
                <w:vertAlign w:val="superscript"/>
              </w:rPr>
              <w:t>(a)</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(2,822)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23"/>
        </w:trPr>
        <w:tc>
          <w:tcPr>
            <w:tcW w:w="228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(979)</w:t>
            </w:r>
          </w:p>
        </w:tc>
        <w:tc>
          <w:tcPr>
            <w:tcW w:w="22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(339)</w:t>
            </w:r>
          </w:p>
        </w:tc>
        <w:tc>
          <w:tcPr>
            <w:tcW w:w="102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(493)</w:t>
            </w:r>
          </w:p>
        </w:tc>
        <w:tc>
          <w:tcPr>
            <w:tcW w:w="22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(1,565)</w:t>
            </w:r>
          </w:p>
        </w:tc>
        <w:tc>
          <w:tcPr>
            <w:tcW w:w="1020" w:type="dxa"/>
            <w:vAlign w:val="bottom"/>
          </w:tcPr>
          <w:p>
            <w:pPr>
              <w:jc w:val="right"/>
              <w:spacing w:after="0"/>
              <w:rPr>
                <w:sz w:val="20"/>
                <w:szCs w:val="20"/>
                <w:color w:val="auto"/>
              </w:rPr>
            </w:pPr>
            <w:r>
              <w:rPr>
                <w:rFonts w:ascii="Arial" w:cs="Arial" w:eastAsia="Arial" w:hAnsi="Arial"/>
                <w:sz w:val="17"/>
                <w:szCs w:val="17"/>
                <w:color w:val="auto"/>
              </w:rPr>
              <w:t>317 %</w:t>
            </w:r>
          </w:p>
        </w:tc>
      </w:tr>
      <w:tr>
        <w:trPr>
          <w:trHeight w:val="236"/>
        </w:trPr>
        <w:tc>
          <w:tcPr>
            <w:tcW w:w="2280" w:type="dxa"/>
            <w:vAlign w:val="bottom"/>
            <w:shd w:val="clear" w:color="auto" w:fill="CCEEFF"/>
          </w:tcPr>
          <w:p>
            <w:pPr>
              <w:ind w:left="20"/>
              <w:spacing w:after="0" w:line="237" w:lineRule="exact"/>
              <w:rPr>
                <w:sz w:val="20"/>
                <w:szCs w:val="20"/>
                <w:color w:val="auto"/>
              </w:rPr>
            </w:pPr>
            <w:r>
              <w:rPr>
                <w:rFonts w:ascii="Arial" w:cs="Arial" w:eastAsia="Arial" w:hAnsi="Arial"/>
                <w:sz w:val="17"/>
                <w:szCs w:val="17"/>
                <w:color w:val="auto"/>
                <w:w w:val="91"/>
              </w:rPr>
              <w:t>Depreciation and amortization</w:t>
            </w:r>
            <w:r>
              <w:rPr>
                <w:rFonts w:ascii="Arial" w:cs="Arial" w:eastAsia="Arial" w:hAnsi="Arial"/>
                <w:sz w:val="22"/>
                <w:szCs w:val="22"/>
                <w:i w:val="1"/>
                <w:iCs w:val="1"/>
                <w:color w:val="auto"/>
                <w:w w:val="91"/>
                <w:vertAlign w:val="superscript"/>
              </w:rPr>
              <w:t>(b)</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2,758</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786</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7,851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4,892</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2,959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r>
      <w:tr>
        <w:trPr>
          <w:trHeight w:val="216"/>
        </w:trPr>
        <w:tc>
          <w:tcPr>
            <w:tcW w:w="2280" w:type="dxa"/>
            <w:vAlign w:val="bottom"/>
          </w:tcPr>
          <w:p>
            <w:pPr>
              <w:ind w:left="20"/>
              <w:spacing w:after="0" w:line="216" w:lineRule="exact"/>
              <w:rPr>
                <w:sz w:val="20"/>
                <w:szCs w:val="20"/>
                <w:color w:val="auto"/>
              </w:rPr>
            </w:pPr>
            <w:r>
              <w:rPr>
                <w:rFonts w:ascii="Arial" w:cs="Arial" w:eastAsia="Arial" w:hAnsi="Arial"/>
                <w:sz w:val="17"/>
                <w:szCs w:val="17"/>
                <w:color w:val="auto"/>
              </w:rPr>
              <w:t>Stock-based compensation</w:t>
            </w:r>
            <w:r>
              <w:rPr>
                <w:rFonts w:ascii="Arial" w:cs="Arial" w:eastAsia="Arial" w:hAnsi="Arial"/>
                <w:sz w:val="22"/>
                <w:szCs w:val="22"/>
                <w:i w:val="1"/>
                <w:iCs w:val="1"/>
                <w:color w:val="auto"/>
                <w:vertAlign w:val="superscript"/>
              </w:rPr>
              <w:t>(c)</w:t>
            </w:r>
          </w:p>
        </w:tc>
        <w:tc>
          <w:tcPr>
            <w:tcW w:w="24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5,677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7,397</w:t>
            </w:r>
          </w:p>
        </w:tc>
        <w:tc>
          <w:tcPr>
            <w:tcW w:w="220" w:type="dxa"/>
            <w:vAlign w:val="bottom"/>
          </w:tcPr>
          <w:p>
            <w:pPr>
              <w:spacing w:after="0"/>
              <w:rPr>
                <w:sz w:val="18"/>
                <w:szCs w:val="18"/>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(1,720)</w:t>
            </w:r>
          </w:p>
        </w:tc>
        <w:tc>
          <w:tcPr>
            <w:tcW w:w="10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21,417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35,002</w:t>
            </w:r>
          </w:p>
        </w:tc>
        <w:tc>
          <w:tcPr>
            <w:tcW w:w="22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7"/>
                <w:szCs w:val="17"/>
                <w:color w:val="auto"/>
              </w:rPr>
              <w:t>(13,585)</w:t>
            </w: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9"/>
        </w:trPr>
        <w:tc>
          <w:tcPr>
            <w:tcW w:w="2280" w:type="dxa"/>
            <w:vAlign w:val="bottom"/>
            <w:tcBorders>
              <w:bottom w:val="single" w:sz="8" w:color="auto"/>
            </w:tcBorders>
            <w:shd w:val="clear" w:color="auto" w:fill="CCEEFF"/>
          </w:tcPr>
          <w:p>
            <w:pPr>
              <w:ind w:left="20"/>
              <w:spacing w:after="0" w:line="229" w:lineRule="exact"/>
              <w:rPr>
                <w:sz w:val="20"/>
                <w:szCs w:val="20"/>
                <w:color w:val="auto"/>
              </w:rPr>
            </w:pPr>
            <w:r>
              <w:rPr>
                <w:rFonts w:ascii="Arial" w:cs="Arial" w:eastAsia="Arial" w:hAnsi="Arial"/>
                <w:sz w:val="17"/>
                <w:szCs w:val="17"/>
                <w:color w:val="auto"/>
              </w:rPr>
              <w:t>Other expenses</w:t>
            </w:r>
            <w:r>
              <w:rPr>
                <w:rFonts w:ascii="Arial" w:cs="Arial" w:eastAsia="Arial" w:hAnsi="Arial"/>
                <w:sz w:val="22"/>
                <w:szCs w:val="22"/>
                <w:i w:val="1"/>
                <w:iCs w:val="1"/>
                <w:color w:val="auto"/>
                <w:vertAlign w:val="superscript"/>
              </w:rPr>
              <w:t>(d)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1,965</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1,965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5,439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5,439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Adjusted EBITDA</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(26,203)</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26,462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(78,960)</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(192,742)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113,782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59 %</w:t>
            </w:r>
          </w:p>
        </w:tc>
      </w:tr>
      <w:tr>
        <w:trPr>
          <w:trHeight w:val="25"/>
        </w:trPr>
        <w:tc>
          <w:tcPr>
            <w:tcW w:w="2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firstLine="8"/>
        <w:spacing w:after="0" w:line="266" w:lineRule="auto"/>
        <w:tabs>
          <w:tab w:leader="none" w:pos="21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Net interest expense (income) for the three months ended June 30, 2023 consists of $1.5 million of interest expense and $1.7 million of interest income. Net interest expense (income) for the three months ended June 30, 2022 consists of $0.6 million of interest expense and $0.8 million of interest income.</w:t>
      </w:r>
    </w:p>
    <w:p>
      <w:pPr>
        <w:spacing w:after="0" w:line="283" w:lineRule="auto"/>
        <w:rPr>
          <w:rFonts w:ascii="Arial" w:cs="Arial" w:eastAsia="Arial" w:hAnsi="Arial"/>
          <w:sz w:val="14"/>
          <w:szCs w:val="14"/>
          <w:i w:val="1"/>
          <w:iCs w:val="1"/>
          <w:color w:val="auto"/>
        </w:rPr>
      </w:pPr>
      <w:r>
        <w:rPr>
          <w:rFonts w:ascii="Arial" w:cs="Arial" w:eastAsia="Arial" w:hAnsi="Arial"/>
          <w:sz w:val="14"/>
          <w:szCs w:val="14"/>
          <w:i w:val="1"/>
          <w:iCs w:val="1"/>
          <w:color w:val="auto"/>
        </w:rPr>
        <w:t>Net interest expense (income) for the nine months ended June 30, 2023 consists of $4.1 million of interest expense and $6.1 million of interest income. Net interest expense (income) for the nine months ended June 30, 2022 consists of $1.9 million of interest expense and $1.1 million of interest income.</w:t>
      </w:r>
    </w:p>
    <w:p>
      <w:pPr>
        <w:spacing w:after="0" w:line="194" w:lineRule="exact"/>
        <w:rPr>
          <w:rFonts w:ascii="Arial" w:cs="Arial" w:eastAsia="Arial" w:hAnsi="Arial"/>
          <w:sz w:val="14"/>
          <w:szCs w:val="14"/>
          <w:i w:val="1"/>
          <w:iCs w:val="1"/>
          <w:color w:val="auto"/>
        </w:rPr>
      </w:pPr>
    </w:p>
    <w:p>
      <w:pPr>
        <w:ind w:firstLine="8"/>
        <w:spacing w:after="0" w:line="293" w:lineRule="auto"/>
        <w:tabs>
          <w:tab w:leader="none" w:pos="20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Amount includes approximately $2.3 million included in depreciation and amortization and $0.5 million related to amortization of capitalized software included in cost of goods and services for the three and nine months ended June 30, 2023.</w:t>
      </w:r>
    </w:p>
    <w:p>
      <w:pPr>
        <w:spacing w:after="0" w:line="200" w:lineRule="exact"/>
        <w:rPr>
          <w:rFonts w:ascii="Arial" w:cs="Arial" w:eastAsia="Arial" w:hAnsi="Arial"/>
          <w:sz w:val="14"/>
          <w:szCs w:val="14"/>
          <w:i w:val="1"/>
          <w:iCs w:val="1"/>
          <w:color w:val="auto"/>
        </w:rPr>
      </w:pPr>
    </w:p>
    <w:p>
      <w:pPr>
        <w:ind w:left="200" w:hanging="192"/>
        <w:spacing w:after="0"/>
        <w:tabs>
          <w:tab w:leader="none" w:pos="20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incentive awards that will be settled in shares and incentive awards that will be settled in cash.</w:t>
      </w:r>
    </w:p>
    <w:p>
      <w:pPr>
        <w:spacing w:after="0" w:line="244" w:lineRule="exact"/>
        <w:rPr>
          <w:rFonts w:ascii="Arial" w:cs="Arial" w:eastAsia="Arial" w:hAnsi="Arial"/>
          <w:sz w:val="14"/>
          <w:szCs w:val="14"/>
          <w:i w:val="1"/>
          <w:iCs w:val="1"/>
          <w:color w:val="auto"/>
        </w:rPr>
      </w:pPr>
    </w:p>
    <w:p>
      <w:pPr>
        <w:jc w:val="both"/>
        <w:ind w:right="140" w:firstLine="8"/>
        <w:spacing w:after="0" w:line="297" w:lineRule="auto"/>
        <w:tabs>
          <w:tab w:leader="none" w:pos="201"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Amounts for the three and nine months ended June 30, 2023 include approximately $2.0 million and $5.4 million of costs related to the restructuring plan, including severance, respectively. Beginning with the three months ended June 30, 2023, costs related to the Covid-19 pandemic and the cargo loss incident, which the Company has historically excluded from Adjusted EBITDA, are no longer excluded. Adjusted EBITDA results for the three and nine months ended June 30, 2022 have been recast for comparative purposes.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4"/>
          </w:tcPr>
          <w:p>
            <w:pPr>
              <w:jc w:val="right"/>
              <w:spacing w:after="0" w:line="198" w:lineRule="exact"/>
              <w:rPr>
                <w:sz w:val="20"/>
                <w:szCs w:val="20"/>
                <w:color w:val="auto"/>
              </w:rPr>
            </w:pPr>
            <w:r>
              <w:rPr>
                <w:rFonts w:ascii="Arial" w:cs="Arial" w:eastAsia="Arial" w:hAnsi="Arial"/>
                <w:sz w:val="18"/>
                <w:szCs w:val="18"/>
                <w:b w:val="1"/>
                <w:bCs w:val="1"/>
                <w:color w:val="auto"/>
                <w:w w:val="95"/>
              </w:rPr>
              <w:t>Three Months Ended June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Nine Months Ended June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Change</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7"/>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536,351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297,341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1,544,997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788,376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Cost of goods and services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514,531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244,207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270,324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1,480,324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829,714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650,610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21,820</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64,673</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137,766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Stock-based</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(1,396)</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3,364</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(3,517)</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compensation</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491</w:t>
            </w:r>
          </w:p>
        </w:tc>
        <w:tc>
          <w:tcPr>
            <w:tcW w:w="11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491</w:t>
            </w:r>
          </w:p>
        </w:tc>
        <w:tc>
          <w:tcPr>
            <w:tcW w:w="11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(c)</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436</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8"/>
        </w:trPr>
        <w:tc>
          <w:tcPr>
            <w:tcW w:w="212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Adjusted Gross Profit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23,627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26,220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1011 %</w:t>
            </w:r>
          </w:p>
        </w:tc>
        <w:tc>
          <w:tcPr>
            <w:tcW w:w="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68,964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(66,212)</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135,176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Adjusted Gross Profit</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4.4 %</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2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Margin %</w:t>
            </w: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vMerge w:val="continue"/>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incentive awards that will be settled in shares and incentive awards that will be settled in cash.</w:t>
      </w:r>
    </w:p>
    <w:p>
      <w:pPr>
        <w:spacing w:after="0" w:line="257" w:lineRule="exact"/>
        <w:rPr>
          <w:rFonts w:ascii="Arial" w:cs="Arial" w:eastAsia="Arial" w:hAnsi="Arial"/>
          <w:sz w:val="14"/>
          <w:szCs w:val="14"/>
          <w:i w:val="1"/>
          <w:iCs w:val="1"/>
          <w:color w:val="auto"/>
        </w:rPr>
      </w:pPr>
    </w:p>
    <w:p>
      <w:pPr>
        <w:ind w:left="200" w:hanging="192"/>
        <w:spacing w:after="0"/>
        <w:tabs>
          <w:tab w:leader="none" w:pos="20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Amount related to amortization of capitalized software included in cost of goods and services for the three and nine months ended June 30, 2023.</w:t>
      </w:r>
    </w:p>
    <w:p>
      <w:pPr>
        <w:spacing w:after="0" w:line="257" w:lineRule="exact"/>
        <w:rPr>
          <w:rFonts w:ascii="Arial" w:cs="Arial" w:eastAsia="Arial" w:hAnsi="Arial"/>
          <w:sz w:val="14"/>
          <w:szCs w:val="14"/>
          <w:i w:val="1"/>
          <w:iCs w:val="1"/>
          <w:color w:val="auto"/>
        </w:rPr>
      </w:pPr>
    </w:p>
    <w:p>
      <w:pPr>
        <w:jc w:val="both"/>
        <w:ind w:firstLine="8"/>
        <w:spacing w:after="0" w:line="265" w:lineRule="auto"/>
        <w:tabs>
          <w:tab w:leader="none" w:pos="19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the three and nine months ended June 30, 2023 of $0.1 million of costs related to the restructuring plan, including severance, respectively. Beginning with the three months ended June 30, 2023, costs related to the Covid-19 pandemic and the cargo loss incident, which the Company has historically excluded from Adjusted Gross Profit (Loss) and Adjusted Gross Profit Margin, are no longer excluded. Adjusted Gross Profit (Loss) and Adjusted Gross Profit Margin results for the three and nine months ended June 30, 2022 have been recast for comparative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Nine Months Ended June 30,</w:t>
            </w:r>
          </w:p>
        </w:tc>
        <w:tc>
          <w:tcPr>
            <w:tcW w:w="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(160,487)</w:t>
            </w:r>
          </w:p>
        </w:tc>
        <w:tc>
          <w:tcPr>
            <w:tcW w:w="12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(60,943)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(99,544)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Purchase of property and equipment</w:t>
            </w: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54"/>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(162,364)</w:t>
            </w:r>
          </w:p>
        </w:tc>
        <w:tc>
          <w:tcPr>
            <w:tcW w:w="120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(63,618)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(98,746)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40</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our operating results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98"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Three Months Ended June</w:t>
      </w:r>
    </w:p>
    <w:p>
      <w:pPr>
        <w:spacing w:after="0" w:line="1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2420"/>
        <w:spacing w:after="0"/>
        <w:rPr>
          <w:sz w:val="20"/>
          <w:szCs w:val="20"/>
          <w:color w:val="auto"/>
        </w:rPr>
      </w:pPr>
      <w:r>
        <w:rPr>
          <w:rFonts w:ascii="Arial" w:cs="Arial" w:eastAsia="Arial" w:hAnsi="Arial"/>
          <w:sz w:val="16"/>
          <w:szCs w:val="16"/>
          <w:b w:val="1"/>
          <w:bCs w:val="1"/>
          <w:color w:val="auto"/>
        </w:rPr>
        <w:t>Nine Months Ended June</w:t>
      </w:r>
    </w:p>
    <w:p>
      <w:pPr>
        <w:spacing w:after="0" w:line="12" w:lineRule="exact"/>
        <w:rPr>
          <w:sz w:val="20"/>
          <w:szCs w:val="20"/>
          <w:color w:val="auto"/>
        </w:rPr>
      </w:pPr>
    </w:p>
    <w:p>
      <w:pPr>
        <w:jc w:val="center"/>
        <w:ind w:right="2420"/>
        <w:spacing w:after="0"/>
        <w:rPr>
          <w:sz w:val="20"/>
          <w:szCs w:val="20"/>
          <w:color w:val="auto"/>
        </w:rPr>
      </w:pPr>
      <w:r>
        <w:rPr>
          <w:rFonts w:ascii="Arial" w:cs="Arial" w:eastAsia="Arial" w:hAnsi="Arial"/>
          <w:sz w:val="18"/>
          <w:szCs w:val="18"/>
          <w:b w:val="1"/>
          <w:bCs w:val="1"/>
          <w:color w:val="auto"/>
        </w:rPr>
        <w:t>30,</w:t>
      </w:r>
    </w:p>
    <w:p>
      <w:pPr>
        <w:spacing w:after="0" w:line="7" w:lineRule="exact"/>
        <w:rPr>
          <w:sz w:val="20"/>
          <w:szCs w:val="20"/>
          <w:color w:val="auto"/>
        </w:rPr>
      </w:pPr>
    </w:p>
    <w:p>
      <w:pPr>
        <w:sectPr>
          <w:pgSz w:w="11900" w:h="16838" w:orient="portrait"/>
          <w:cols w:equalWidth="0" w:num="2">
            <w:col w:w="6140" w:space="720"/>
            <w:col w:w="4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87"/>
              </w:rPr>
              <w:t>Change</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Change %</w:t>
            </w: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w w:val="87"/>
              </w:rPr>
              <w:t>Change</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7"/>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536,351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239,010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7"/>
              </w:rPr>
              <w:t>297,341</w:t>
            </w:r>
          </w:p>
        </w:tc>
        <w:tc>
          <w:tcPr>
            <w:tcW w:w="13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95"/>
              </w:rPr>
              <w:t>1,544,997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756,621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97"/>
              </w:rPr>
              <w:t>788,376</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Costs of goods and services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514,531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244,207</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270,324</w:t>
            </w: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111%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5"/>
              </w:rPr>
              <w:t>1,480,324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829,714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97"/>
              </w:rPr>
              <w:t>650,610</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21,820</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(5,197)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27,017</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520 %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64,673</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(73,093)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137,766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7"/>
        </w:trPr>
        <w:tc>
          <w:tcPr>
            <w:tcW w:w="220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4.1%</w:t>
            </w:r>
          </w:p>
        </w:tc>
        <w:tc>
          <w:tcPr>
            <w:tcW w:w="3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(9.7)%</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Arial" w:cs="Arial" w:eastAsia="Arial" w:hAnsi="Arial"/>
                <w:sz w:val="18"/>
                <w:szCs w:val="18"/>
                <w:color w:val="auto"/>
                <w:w w:val="92"/>
              </w:rPr>
              <w:t>Research and development</w:t>
            </w:r>
          </w:p>
        </w:tc>
        <w:tc>
          <w:tcPr>
            <w:tcW w:w="18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9,918</w:t>
            </w:r>
          </w:p>
        </w:tc>
        <w:tc>
          <w:tcPr>
            <w:tcW w:w="3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18,129</w:t>
            </w:r>
          </w:p>
        </w:tc>
        <w:tc>
          <w:tcPr>
            <w:tcW w:w="28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(8,211)</w:t>
            </w:r>
          </w:p>
        </w:tc>
        <w:tc>
          <w:tcPr>
            <w:tcW w:w="1360" w:type="dxa"/>
            <w:vAlign w:val="bottom"/>
          </w:tcPr>
          <w:p>
            <w:pPr>
              <w:jc w:val="right"/>
              <w:ind w:right="193"/>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51,631</w:t>
            </w:r>
          </w:p>
        </w:tc>
        <w:tc>
          <w:tcPr>
            <w:tcW w:w="2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42,227</w:t>
            </w:r>
          </w:p>
        </w:tc>
        <w:tc>
          <w:tcPr>
            <w:tcW w:w="28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9,404</w:t>
            </w:r>
          </w:p>
        </w:tc>
        <w:tc>
          <w:tcPr>
            <w:tcW w:w="1140" w:type="dxa"/>
            <w:vAlign w:val="bottom"/>
          </w:tcPr>
          <w:p>
            <w:pPr>
              <w:jc w:val="right"/>
              <w:ind w:right="33"/>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10,106</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8,398</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1,708</w:t>
            </w:r>
          </w:p>
        </w:tc>
        <w:tc>
          <w:tcPr>
            <w:tcW w:w="13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29,299</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27,647</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1,652</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76"/>
        </w:trPr>
        <w:tc>
          <w:tcPr>
            <w:tcW w:w="2200" w:type="dxa"/>
            <w:vAlign w:val="bottom"/>
          </w:tcPr>
          <w:p>
            <w:pPr>
              <w:ind w:left="140"/>
              <w:spacing w:after="0" w:line="176" w:lineRule="exact"/>
              <w:rPr>
                <w:sz w:val="20"/>
                <w:szCs w:val="20"/>
                <w:color w:val="auto"/>
              </w:rPr>
            </w:pPr>
            <w:r>
              <w:rPr>
                <w:rFonts w:ascii="Arial" w:cs="Arial" w:eastAsia="Arial" w:hAnsi="Arial"/>
                <w:sz w:val="18"/>
                <w:szCs w:val="18"/>
                <w:color w:val="auto"/>
              </w:rPr>
              <w:t>General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38,145</w:t>
            </w:r>
          </w:p>
        </w:tc>
        <w:tc>
          <w:tcPr>
            <w:tcW w:w="3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27,334</w:t>
            </w:r>
          </w:p>
        </w:tc>
        <w:tc>
          <w:tcPr>
            <w:tcW w:w="28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10,811</w:t>
            </w:r>
          </w:p>
        </w:tc>
        <w:tc>
          <w:tcPr>
            <w:tcW w:w="1360" w:type="dxa"/>
            <w:vAlign w:val="bottom"/>
          </w:tcPr>
          <w:p>
            <w:pPr>
              <w:jc w:val="right"/>
              <w:ind w:right="193"/>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101,190</w:t>
            </w:r>
          </w:p>
        </w:tc>
        <w:tc>
          <w:tcPr>
            <w:tcW w:w="2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83,771</w:t>
            </w:r>
          </w:p>
        </w:tc>
        <w:tc>
          <w:tcPr>
            <w:tcW w:w="28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17,419</w:t>
            </w:r>
          </w:p>
        </w:tc>
        <w:tc>
          <w:tcPr>
            <w:tcW w:w="1140" w:type="dxa"/>
            <w:vAlign w:val="bottom"/>
          </w:tcPr>
          <w:p>
            <w:pPr>
              <w:jc w:val="right"/>
              <w:ind w:right="33"/>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8"/>
        </w:trPr>
        <w:tc>
          <w:tcPr>
            <w:tcW w:w="22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2,267</w:t>
            </w:r>
          </w:p>
        </w:tc>
        <w:tc>
          <w:tcPr>
            <w:tcW w:w="3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1,972</w:t>
            </w:r>
          </w:p>
        </w:tc>
        <w:tc>
          <w:tcPr>
            <w:tcW w:w="2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295</w:t>
            </w:r>
          </w:p>
        </w:tc>
        <w:tc>
          <w:tcPr>
            <w:tcW w:w="1360" w:type="dxa"/>
            <w:vAlign w:val="bottom"/>
            <w:vMerge w:val="restart"/>
            <w:shd w:val="clear" w:color="auto" w:fill="CCEEFF"/>
          </w:tcPr>
          <w:p>
            <w:pPr>
              <w:jc w:val="right"/>
              <w:ind w:right="193"/>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7,360</w:t>
            </w:r>
          </w:p>
        </w:tc>
        <w:tc>
          <w:tcPr>
            <w:tcW w:w="2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4,892</w:t>
            </w: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93"/>
              <w:spacing w:after="0"/>
              <w:rPr>
                <w:sz w:val="20"/>
                <w:szCs w:val="20"/>
                <w:color w:val="auto"/>
              </w:rPr>
            </w:pPr>
            <w:r>
              <w:rPr>
                <w:rFonts w:ascii="Arial" w:cs="Arial" w:eastAsia="Arial" w:hAnsi="Arial"/>
                <w:sz w:val="17"/>
                <w:szCs w:val="17"/>
                <w:color w:val="auto"/>
              </w:rPr>
              <w:t>2,468</w:t>
            </w: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1,513</w:t>
            </w:r>
          </w:p>
        </w:tc>
        <w:tc>
          <w:tcPr>
            <w:tcW w:w="3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573</w:t>
            </w:r>
          </w:p>
        </w:tc>
        <w:tc>
          <w:tcPr>
            <w:tcW w:w="28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940</w:t>
            </w:r>
          </w:p>
        </w:tc>
        <w:tc>
          <w:tcPr>
            <w:tcW w:w="1360" w:type="dxa"/>
            <w:vAlign w:val="bottom"/>
          </w:tcPr>
          <w:p>
            <w:pPr>
              <w:jc w:val="right"/>
              <w:ind w:right="193"/>
              <w:spacing w:after="0"/>
              <w:rPr>
                <w:sz w:val="20"/>
                <w:szCs w:val="20"/>
                <w:color w:val="auto"/>
              </w:rPr>
            </w:pPr>
            <w:r>
              <w:rPr>
                <w:rFonts w:ascii="Arial" w:cs="Arial" w:eastAsia="Arial" w:hAnsi="Arial"/>
                <w:sz w:val="17"/>
                <w:szCs w:val="17"/>
                <w:color w:val="auto"/>
              </w:rPr>
              <w:t>164%</w:t>
            </w:r>
          </w:p>
        </w:tc>
        <w:tc>
          <w:tcPr>
            <w:tcW w:w="16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3,473</w:t>
            </w:r>
          </w:p>
        </w:tc>
        <w:tc>
          <w:tcPr>
            <w:tcW w:w="2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1,938</w:t>
            </w:r>
          </w:p>
        </w:tc>
        <w:tc>
          <w:tcPr>
            <w:tcW w:w="280" w:type="dxa"/>
            <w:vAlign w:val="bottom"/>
          </w:tcPr>
          <w:p>
            <w:pPr>
              <w:spacing w:after="0"/>
              <w:rPr>
                <w:sz w:val="19"/>
                <w:szCs w:val="19"/>
                <w:color w:val="auto"/>
              </w:rPr>
            </w:pPr>
          </w:p>
        </w:tc>
        <w:tc>
          <w:tcPr>
            <w:tcW w:w="900" w:type="dxa"/>
            <w:vAlign w:val="bottom"/>
          </w:tcPr>
          <w:p>
            <w:pPr>
              <w:jc w:val="right"/>
              <w:ind w:right="193"/>
              <w:spacing w:after="0"/>
              <w:rPr>
                <w:sz w:val="20"/>
                <w:szCs w:val="20"/>
                <w:color w:val="auto"/>
              </w:rPr>
            </w:pPr>
            <w:r>
              <w:rPr>
                <w:rFonts w:ascii="Arial" w:cs="Arial" w:eastAsia="Arial" w:hAnsi="Arial"/>
                <w:sz w:val="17"/>
                <w:szCs w:val="17"/>
                <w:color w:val="auto"/>
              </w:rPr>
              <w:t>1,535</w:t>
            </w:r>
          </w:p>
        </w:tc>
        <w:tc>
          <w:tcPr>
            <w:tcW w:w="1140" w:type="dxa"/>
            <w:vAlign w:val="bottom"/>
          </w:tcPr>
          <w:p>
            <w:pPr>
              <w:jc w:val="right"/>
              <w:ind w:right="33"/>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Other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3,766</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(205)</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3,971</w:t>
            </w:r>
          </w:p>
        </w:tc>
        <w:tc>
          <w:tcPr>
            <w:tcW w:w="13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1937%</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16,586</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83</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16,503</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19883%</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54"/>
              <w:spacing w:after="0"/>
              <w:rPr>
                <w:sz w:val="20"/>
                <w:szCs w:val="20"/>
                <w:color w:val="auto"/>
              </w:rPr>
            </w:pPr>
            <w:r>
              <w:rPr>
                <w:rFonts w:ascii="Arial" w:cs="Arial" w:eastAsia="Arial" w:hAnsi="Arial"/>
                <w:sz w:val="17"/>
                <w:szCs w:val="17"/>
                <w:color w:val="auto"/>
              </w:rPr>
              <w:t>(36,363)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(61,808)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25,445</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54"/>
              <w:spacing w:after="0"/>
              <w:rPr>
                <w:sz w:val="20"/>
                <w:szCs w:val="20"/>
                <w:color w:val="auto"/>
              </w:rPr>
            </w:pPr>
            <w:r>
              <w:rPr>
                <w:rFonts w:ascii="Arial" w:cs="Arial" w:eastAsia="Arial" w:hAnsi="Arial"/>
                <w:sz w:val="17"/>
                <w:szCs w:val="17"/>
                <w:color w:val="auto"/>
                <w:w w:val="98"/>
              </w:rPr>
              <w:t>(111,694)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4"/>
              <w:spacing w:after="0"/>
              <w:rPr>
                <w:sz w:val="20"/>
                <w:szCs w:val="20"/>
                <w:color w:val="auto"/>
              </w:rPr>
            </w:pPr>
            <w:r>
              <w:rPr>
                <w:rFonts w:ascii="Arial" w:cs="Arial" w:eastAsia="Arial" w:hAnsi="Arial"/>
                <w:sz w:val="17"/>
                <w:szCs w:val="17"/>
                <w:color w:val="auto"/>
                <w:w w:val="96"/>
              </w:rPr>
              <w:t>(233,485)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121,791</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(1,318)</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(979)</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(339)</w:t>
            </w:r>
          </w:p>
        </w:tc>
        <w:tc>
          <w:tcPr>
            <w:tcW w:w="13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35%</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(2,058)</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(493)</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(1,565)</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(35,045)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(60,829)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25,784</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8"/>
              </w:rPr>
              <w:t>(109,636)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6"/>
              </w:rPr>
              <w:t>(232,992)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123,356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69"/>
        </w:trPr>
        <w:tc>
          <w:tcPr>
            <w:tcW w:w="22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8"/>
              </w:rPr>
              <w:t>Net loss attributable to non-</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128,908</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(11,655)</w:t>
            </w: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(41,482)</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29,827</w:t>
            </w: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(36,748)</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96"/>
              </w:rPr>
              <w:t>(165,656)</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Net loss attributable to</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vMerge w:val="restart"/>
          </w:tcPr>
          <w:p>
            <w:pPr>
              <w:jc w:val="right"/>
              <w:ind w:right="73"/>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93"/>
              <w:spacing w:after="0"/>
              <w:rPr>
                <w:sz w:val="20"/>
                <w:szCs w:val="20"/>
                <w:color w:val="auto"/>
              </w:rPr>
            </w:pPr>
            <w:r>
              <w:rPr>
                <w:rFonts w:ascii="Arial" w:cs="Arial" w:eastAsia="Arial" w:hAnsi="Arial"/>
                <w:sz w:val="18"/>
                <w:szCs w:val="18"/>
                <w:color w:val="auto"/>
              </w:rPr>
              <w:t>(5,552)</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Fluence Energy,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(23,390)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(19,347)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(4,043)</w:t>
            </w:r>
          </w:p>
        </w:tc>
        <w:tc>
          <w:tcPr>
            <w:tcW w:w="13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(72,888)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(67,336)</w:t>
            </w:r>
          </w:p>
        </w:tc>
        <w:tc>
          <w:tcPr>
            <w:tcW w:w="2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p>
    <w:p>
      <w:pPr>
        <w:spacing w:after="0" w:line="2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Total revenue was $536.4 million for the three months ended June 30, 2023, compared to $239.0 million for the three months ended June 30, 2022, representing an increase of $297.3 million, or 124%. The increase in total revenue for the three months ended June 30, 2023 was mainly attributable to the expansion of sales of our battery-based energy storage products and solutions by $295.6 million. The expansion of sales of our battery-based energy storage products and solutions was primarily driven by (i) higher volumes of Gen6 solutions in the Americas and EMEA regions and (ii) $1.8 million in price increases through change orders issued during the period in which the performance obligations were substantially satisfied in previous periods.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revenue was $1,545.0 million for the nine months ended June 30, 2023, compared to $756.6 million for the nine months ended June 30, 2022, representing an increase of $788.4 million, or 104%. The increase in total revenue for the nine months ended June 30, 2023 was mainly attributable to the expansion of sales of our battery-based energy storage products and solutions by $787.6 million partially offset by a decrease in augmentation services revenue of $4.5 million. The expansion of sales of our battery-based energy storage products and solutions was primarily driven by (i) increased volumes of Gen6 solutions across all regions, (ii) $26.1 million in price increases through change orders issued during the period in which the performance obligations were substantially satisfied in previous periods, and (iii) $10.9 million from consulting services provided to AES.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goods and services was $514.5 million for the three months ended June 30, 2023, compared to $244.2 million for the three months ended June 30, 2022, representing an increase of $270.3 million, or 111%. The increase in cost of goods and services for the three months ended June 30, 2023 was primarily attributable to an expansion of volume of Gen6 solutions sold in the Americas and EMEA regions as discussed above. These increases were partially offset by the elimination of 2022 gains on derivative contracts of $10.8 million resulting from higher USD foreign exchange rates that did not recur in the current fiscal period.</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 of goods and services were $1,480.3 million for the nine months ended June 30, 2023, compared to $829.7 million for the nine months ended June 30, 2022, representing an increase of $650.6 million, or 78%. The increase in cost of goods and services for the nine months ended June 30, 2023 were primarily attributable (i) to an expansion of volume of Gen6 solutions sold in all regions, (ii) an increase in warranty expense for the period of $11.9 million due mostly to a change in estimate, and (iii) period over period impact of derivative contracts driving $17.5 million higher costs comprised of $7.5 million in losses in the current period resulting from increases in USD foreign exchange rates and the elimination of $10.0 million in gains resulting from decreases in USD exchanges rates during the prior period. These were partially offset by (i) elimination of incremental costs due to the COVID-19 pandemic of $25.4 million that have not recurred in the current year, (ii) elimination of negative effects of the 2021 cargo loss incident of $9.0 million which did not recur in the current year, and (iii) settlement of contractual claims with our largest battery module vendor of $19.5 million in December 2022. The incremental costs due to COVID-19 pandemic of approximately $25.4 million included (a) approximately $7.0 million due to excess shipping costs primarily related to abnormally high shipping rates resulting from pandemic-related disruptions in the global supply chain and our distribution channels, (b) additional costs of approximately $4.0 million related to excess port and demurrage fees as a direct result of pandemic-related port disruptions and work shortages, and (c) approximately $14.4 million in incremental charges and excess costs incurred during the introduction of our newly launched Gen6 solutions due to disruptions in normal course quality assurance processes.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Gross profit was $21.8 million, and gross profit margin was 4.1%, for the three months ended June 30, 2023, compared to a gross loss of $(5.2) million, and a gross profit margin of (2.2)%, for the three months ended June 30, 2022. For the three months ended June 30, 2023, gross profit was primarily positively impacted by (i) newer Gen6 solutions projects executed at higher margins, (ii) approximately $1.8 million for price increase change orders issued during the period where the performance obligations were substantially satisfied in previous periods, which were partially offset by (i) $2.3 million of additional warranty expense during the period and (ii) $3.6 million of additional storage and warehousing fees incurred in the period. For the three months ended June 30, 2022, gross loss was primarily positively impacted by $10.0 million of gains on derivative contracts discussed above.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Gross profit was $64.7 million, and gross profit margin was 4.2%, for the nine months ended June 30, 2023, compared to a gross loss of $(73.1) million, and a gross profit margin of (9.7)%, for the nine months ended June 30, 2022. For the nine months ended June 30, 2023, gross profit was primarily positively impacted by (i) newer Gen6 solutions projects executed at higher margins, (ii) approximately $26.1 million for price increase change orders issued during the period in which the performance obligations were substantially satisfied in previous periods, (iii) $8.0 million from the consulting services provided to AES, and (iv) settlement of contractual claims with our largest battery module vendor of $19.5 million in December 2022. These positive effects were partially offset by (i) additional warranty expense during the period of $11.9 million and (ii) approximately $17.5 million of losses on foreign currency derivative contracts used predominantly to mitigate foreign exchange rate exposure on project costs. For the nine months ended June 30, 2022, gross loss was negatively impacted by incremental costs incurred due to COVID-19 pandemic of approximately $37.7 million and negative effects of the 2021 cargo loss incident of $9.0 million. The incremental costs due to COVID-19 pandemic included $25.4 million of incremental costs enumerated above under </w:t>
      </w:r>
      <w:r>
        <w:rPr>
          <w:rFonts w:ascii="Arial" w:cs="Arial" w:eastAsia="Arial" w:hAnsi="Arial"/>
          <w:sz w:val="17"/>
          <w:szCs w:val="17"/>
          <w:i w:val="1"/>
          <w:iCs w:val="1"/>
          <w:color w:val="auto"/>
        </w:rPr>
        <w:t>Costs of Goods and Services</w:t>
      </w:r>
      <w:r>
        <w:rPr>
          <w:rFonts w:ascii="Arial" w:cs="Arial" w:eastAsia="Arial" w:hAnsi="Arial"/>
          <w:sz w:val="17"/>
          <w:szCs w:val="17"/>
          <w:color w:val="auto"/>
        </w:rPr>
        <w:t xml:space="preserve"> and approximately $13.6 million in incremental project charges principally related to liquidated damages under the terms of our customer contracts.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 was $9.9 million for the three months ended June 30, 2023, compared to $18.1 million for the three months ended June 30, 2022, representing a decrease of $(8.2) million and (45)%. The decrease in research and development expense for the three months ended June 30, 2023 was primarily attributable to $7.2 million of software development costs capitalized in the current period as we have been investing in our technology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 was $51.6 million for the nine months ended June 30, 2023, compared to $42.2 million for the nine months ended June 30, 2022, representing an increase of $9.4 million and 22%. The increase in research and development expense for the nine months ended June 30, 2023 was primarily attributable to $14.6 million in increased salaries and personnel-related costs in the current period due to higher headcount to support our growth as we have been investing heavily in our human capital, technology, products, and solutions, partially offset by $7.2 million of software development spend capitalized as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 was $10.1 million for the three months ended June 30, 2023, compared to $8.4 million for the three months ended June 30, 2022, representing an increase of $1.7 million and 20%. The increase in sales and marketing expense for the three months ended June 30, 2023 is primarily related to $1.7 million increase in stock-based compensation expense arising out of the mark-to-market fair value adjustment to our liability classified awards that occurred during the prior year quarter.</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 was $29.3 million for the nine months ended June 30, 2023, compared to $27.6 million for the nine months ended June 30, 2022, representing an increase of $1.7 million and 6%. The increase in the sales and marketing expense for the nine months ended June 30, 2023 is primarily related to an increase in personnel-related expenses of $3.1 million due to an increase in headcount. This was partially offset by a reduction of stock-based compensation expense of $1.7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was $38.1 million for the three months ended June 30, 2023, compared to $27.3 million for the three months ended June 30, 2022, representing an increase of $10.8 million and 40%. The increase in general and administrative expense for the nine months ended June 30, 2023 was primarily attributable to (i) an increase in personnel-related expenses of $6.4 million due to an increase in headcount and (ii) management consulting fees of $0.8.</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General and administrative expense was $101.2 million for the nine months ended June 30, 2023, compared to $83.8 million for the nine months ended June 30, 2022, representing an increase of $17.4 million and 21%%. The increase in general and administrative expense for the nine months ended June 30, 2023 was primarily attributable to (i) an increase in personnel-related expenses of $16.4 million due to higher headcount, and (ii) management consulting fees of $10.9 million related to organizational change. This increase was partially offset by a reduction of stock-based compensation expense of $6.9 million. Stock-based compensation expense was higher in the nine months ended June 30, 2022 due to previously unrecognized stock-based compensation expense being recognized due to achievement of the performance condition being met upon the IPO.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was $2.3 million for the three months ended June 30, 2023, compared to $2.0 million for the three months ended June 30, 2022, representing an increase of $0.3 million and 15%. The increase in depreciation and amortization for the three months ended June 30, 2023 was attributable to an increase in depreciation of $0.3 million resulting from fixed assets acquired.</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Depreciation and amortization was $7.4 million for the nine months ended June 30, 2023, compared to $4.9 million for the nine months ended June 30, 2022, representing an increase of $2.5 million and 50%. The increase in depreciation and amortization for the nine months ended June 30, 2023 was attributable to (i) an increase in depreciation of $1.6 million resulting from fixed assets acquired, and (ii) an increase in amortization of $1.1 million related to intangible assets acquired in April 2022. This was partially offset by a $0.2 million decrease in other intangible assets’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was $1.5 million for the three months ended June 30, 2023, compared to $0.6 million for the three months ended June 30, 2022, representing an increase of $0.9 million and 164%. The increase in interest expense for the three months ended June 30, 2023 was attributable to $0.9 million of interest expense on borrowing against a customer receivable.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was $3.5 million for the nine months ended June 30, 2023, compared to $1.9 million for the nine months ended June 30, 2022, representing an increase of $1.5 million and 79%. The increase in interest expense for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June 30, 2023 was primarily attributable to $1.3 million of interest expense on a borrowing against a customer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Other income (expense), net was $3.8 million for the three months ended June 30, 2023, compared to other income (expense), net of $(0.2) million for the three months ended June 30, 2022, representing an increase of $4.0 million. The increase in other income, net for the three months ended June 30, 2023 was largely attributable to (i) an increase in favorable foreign currency exchange adjustments for monetary assets and liabilities compared to the prior year of $1.6 million and (ii) an increase in interest income of $2.4 million. The increase in interest income is attributable to higher interest rates of $1.1 million on cash deposits and income on note receivable balances of $1.3 million with our largest customer in the Philippines.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net was $16.6 million for the nine months ended June 30, 2023, compared to other income, net of $0.1 million for the nine months ended June 30, 2022, representing an increase of $16.5 million. The increase in other income, net for the nine months ended June 30, 2023 was primarily attributable to (i) favorable foreign currency exchange adjustments for monetary assets and liabilities of $8.4 million, (ii) increase in interest income of $4.4 million due to higher interest rates on cash deposits and (iii) increase in interest income of $2.3 million on note receivable balances with our largest customer in the Philippines.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(benefit) was $(1.3) million for the three months ended June 30, 2023 and $(1.0) million for the three months ended June 30, 2022, representing an increase of $0.3 million and 35%. The effective income tax rate was 3.6% and 1.6% for the three months ended June 30, 2023 and 2022, respectively. The increase in income tax benefit and change in effective tax rate were primarily due to a change in the mix of pre-tax loss across foreign jurisdictions as well as a decrease in global pre-tax loss.</w:t>
      </w:r>
    </w:p>
    <w:p>
      <w:pPr>
        <w:spacing w:after="0" w:line="1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Income tax expense (benefit) was $(2.1) million for the nine months ended June 30, 2023 and $(0.5) million for the nine months ended June 30, 2022, representing an increase of $1.6 million and 318% . The effective income tax rate was 1.8% and 0.2% for the nine months ended June 30, 2023 and 2022, respectively. The increase in income tax benefit and change in effective tax rate was primarily due to a change in the mix of pre-tax loss across foreign jurisdictions, a decrease in global pre-tax loss, changes in valuation allowances, and foreign exchange gains and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loss was $(35.0) million for the three months ended June 30, 2023, compared to $(60.8) million for the three months ended June 30, 2022, representing a decrease of $25.8 million and (42)%. The decrease in net loss for the three months ended June 30, 2023 is primarily attributable to an increase in gross profit, increase in other income, net, and a decrease in research and development expenses as described above. These decreases were partially offset by increases in sales and marketing and general and administrative expenses as described above.</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loss was $(109.6) million for the nine months ended June 30, 2023, compared to $(233.0) million for the nine months ended June 30, 2022, representing a decrease of $123.4 million and (53)%. The decrease in net loss for the nine months ended June 30, 2023 is primarily attributable to increase in gross profit and increase in other income, net as described above, partially offset by increases in research and development, and general and administrative expenses as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Since inception and through June 30, 2023, our principal sources of liquidity were the proceeds from our IPO, our cash and cash equivalents, short-term borrowings, borrowings available under the Revolver, capital contributions from AES Grid Stability and Siemens Industry, and proceeds from the QFH investment. We believe the proceeds received from our IPO, cash flows from operations, along with short-term borrowing and borrowings available under the Revolver will be sufficient to meet our expense and capital requirements for at least the next twelve months following the filing of this Report.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November 1, 2021, upon the closing of our IPO, we received net proceeds of $935.8 million, after deducting underwriting discounts and offering expenses payable by the Company. </w:t>
      </w:r>
      <w:r>
        <w:rPr>
          <w:rFonts w:ascii="Arial" w:cs="Arial" w:eastAsia="Arial" w:hAnsi="Arial"/>
          <w:sz w:val="17"/>
          <w:szCs w:val="17"/>
          <w:color w:val="0D0D0D"/>
        </w:rPr>
        <w:t>The net proceeds from the IPO were used to purchase 35,650,000 newly issued limited liability company interests</w:t>
      </w:r>
      <w:r>
        <w:rPr>
          <w:rFonts w:ascii="Arial" w:cs="Arial" w:eastAsia="Arial" w:hAnsi="Arial"/>
          <w:sz w:val="17"/>
          <w:szCs w:val="17"/>
          <w:color w:val="auto"/>
        </w:rPr>
        <w:t xml:space="preserve"> </w:t>
      </w:r>
      <w:r>
        <w:rPr>
          <w:rFonts w:ascii="Arial" w:cs="Arial" w:eastAsia="Arial" w:hAnsi="Arial"/>
          <w:sz w:val="17"/>
          <w:szCs w:val="17"/>
          <w:color w:val="0D0D0D"/>
        </w:rPr>
        <w:t>(“LLC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(as defined below). The remainder of the proceeds has been used for working capital and other general corporate purposes.</w:t>
      </w:r>
    </w:p>
    <w:p>
      <w:pPr>
        <w:spacing w:after="0" w:line="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the IPO, we had a Line of Credit with Citibank which allowed us to borrow an amount in aggregate not to exceed $50.0 million, with the expiration date on March 31, 2023. During the three months ended December 31, 2021, the Company paid off in full the $50.0 million outstanding borrowing under the Line of Credit using the proceeds from the IPO. The Line of Credit was canceled shortly thereafter.</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bore interest at a rate of 2.86%. The Promissory Notes were repaid in full on November 1, 2021 using proceeds from the IPO.</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June 30, 2023, AES and Siemens issued guarantees of $50.0 million each, for a total of $100.0 million, to SCF Bank on our behalf.</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three suppliers were actively participating in the supply chain financing program, and we had $17.3 million of payables outstanding subject to the program. All outstanding payments owed under the program are recorded within “Accounts payable” on the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November 1, 2021, we entered into the Credit Agreement,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and added UBS AG, Stamford Branch as an additional lender under the Revolver. As of June 30, 2023, the aggregate amount of commitments is $200.0 million from the lenders party including JP Morgan Chase Bank, N.A., Morgan Stanley Senior Funding, Inc., Bank of America, N.A., Barclays Bank PLC, and six other banks. The maturity date of the Revolver is November 1, 2025. On May 19, 2023, the Credit Agreement was amended to replace Adjusted LIBOR with Adjusted Term SOFR as the applicable benchmark interest rate with respect to certain classes of loans. The Company elected the optional practical expedient as it relates to our Revolver as the amendment does not modify terms that change or have the potential to change, the amount and timing of cash flows unrelated to the replacement of LIBOR.</w:t>
      </w:r>
    </w:p>
    <w:p>
      <w:pPr>
        <w:spacing w:after="0" w:line="20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Revolver bears interest at (i) with respect to Term Benchmark Loans (as defined in the Credit Agreement), the Adjusted Term SOFR Rate, the Adjusted EURIBOR Rate or the AUD Rate (each as defined in the Credit Agreement), as applicable, plus 3.0%, (ii) with respect to ABR Loans (as defined in the Credit Agreement) the Alternate Base Rate (as defined in the Credit Agreement) plus 2.0%, or (iii) with respect to RFR Loans (as defined in the Credit Agreement), the applicable Daily Simply RFR (as defined in the Credit Agreement) plus 3.1193%, in each instance subject to customary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benchmark replacement provisions including, but not limited to, alternative benchmark rates, customary spread adjustments with respect to borrowings in foreign currency and benchmark replacement conforming changes.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9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terms of the Credit Agreement limit our ability to make certain payments, including dividends and distributions on Fluence Energy, LLC’s equity, Fluence Energy, Inc.’s equity and other restricted payments. Under the terms of the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w:t>
      </w:r>
    </w:p>
    <w:p>
      <w:pPr>
        <w:spacing w:after="0" w:line="4" w:lineRule="exact"/>
        <w:rPr>
          <w:sz w:val="20"/>
          <w:szCs w:val="20"/>
          <w:color w:val="auto"/>
        </w:rPr>
      </w:pPr>
    </w:p>
    <w:p>
      <w:pPr>
        <w:jc w:val="both"/>
        <w:ind w:firstLine="8"/>
        <w:spacing w:after="0" w:line="286" w:lineRule="auto"/>
        <w:tabs>
          <w:tab w:leader="none" w:pos="2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1.5% of the consolidated assets of Fluence Energy, Inc. and its subsidiaries, and (ii) the ability to issue dividends and make other Restricted Payments (as defined in the Credit Agreement) (a) if after giving pro forma effect to such dividend or other Restricted Payment the Total Liquidity (as defined in the Credit Agreement) of Fluence Energy, Inc. and its subsidiaries party to the Credit Agreement is at least $600,000,000, or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and certain operational expenses incurred in connection with the ownership and management of Fluence Energy, LLC.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June 30, 2023, we were in compliance with all such covenants or maintained availability above such covenant triggers.</w:t>
      </w:r>
    </w:p>
    <w:p>
      <w:pPr>
        <w:spacing w:after="0" w:line="1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we had no borrowings under the Revolver and availability under the facility of $165.3 million, net of letters of credit issued of $34.7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Against Note Receivable - Pledged as Collateral</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December 2022, we transferred $24.3 million in customer receivables to Standard Charter Bank (“SCB”) in the Philippines for proceeds of $21.1 million. The receivables all related to our largest customer in that country. The underlying receivables transferred were previously aggregated into a long term note, with interest, and has a maturity date of September 30, 2024 and was previously classified under “</w:t>
      </w:r>
      <w:r>
        <w:rPr>
          <w:rFonts w:ascii="Arial" w:cs="Arial" w:eastAsia="Arial" w:hAnsi="Arial"/>
          <w:sz w:val="17"/>
          <w:szCs w:val="17"/>
          <w:i w:val="1"/>
          <w:iCs w:val="1"/>
          <w:color w:val="auto"/>
        </w:rPr>
        <w:t>Other non-current assets”</w:t>
      </w:r>
      <w:r>
        <w:rPr>
          <w:rFonts w:ascii="Arial" w:cs="Arial" w:eastAsia="Arial" w:hAnsi="Arial"/>
          <w:sz w:val="17"/>
          <w:szCs w:val="17"/>
          <w:color w:val="auto"/>
        </w:rPr>
        <w:t xml:space="preserve"> on our condensed consolidated balance sheet. In April 2023, we aggregated into an additional long term note and transferred an additional $30.9 million in receivables with the same customer to SCB for proceeds of $27.0 million. The arrangement followed similar terms as the earlier round and has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We will record aggregate interest expense of $3.2 million to SCB over the 24 month period from September 30, 2022 until the first note receivable is fully due from the customer. We will record aggregate interest expense of $3.9 million to SCB over the 21 month period from April 1, 2023 until the second note receivable is fully due from the customer.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 June 30,</w:t>
            </w:r>
          </w:p>
        </w:tc>
        <w:tc>
          <w:tcPr>
            <w:tcW w:w="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 %</w:t>
            </w:r>
          </w:p>
        </w:tc>
      </w:tr>
      <w:tr>
        <w:trPr>
          <w:trHeight w:val="23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(60,943)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(99,544)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97,500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ind w:left="640"/>
              <w:spacing w:after="0"/>
              <w:rPr>
                <w:sz w:val="20"/>
                <w:szCs w:val="20"/>
                <w:color w:val="auto"/>
              </w:rPr>
            </w:pPr>
            <w:r>
              <w:rPr>
                <w:rFonts w:ascii="Arial" w:cs="Arial" w:eastAsia="Arial" w:hAnsi="Arial"/>
                <w:sz w:val="18"/>
                <w:szCs w:val="18"/>
                <w:color w:val="auto"/>
                <w:w w:val="92"/>
              </w:rPr>
              <w:t>(33,014)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130,514</w:t>
            </w:r>
          </w:p>
        </w:tc>
        <w:tc>
          <w:tcPr>
            <w:tcW w:w="132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52,588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815,460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(762,872)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898"/>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Net cash flows used in operating activities of $160.5 million for the nine months ended June 30, 2023, were due to a net loss of $109.6 million, compounded by change in operating assets and liabilities of $69.6 million and offset by adjustments to reconcile to cash of $18.7 million, which primarily consists of stock-based compensation expense of $21.4 million. Net cash flows used in operating activities of $60.9 million for the nine months ended June 30, 2022, were due to net loss of $232.9 million, offset by change in operating assets and liabilities of $115.9 million, and further offset by adjustments to reconcile to cash of $56.1 million, which primarily consists of stock-based compensation expense of $35.0 million and provision for inventory reserves of $13.3 million. The inventory provision for the nine months ended June 30, 2022 was primarily due to the 2021 cargo loss incident. The decrease in net loss of $123.4 million for the nine months ended June 30, 2023, compared to nine months ended June 30, 2022 is primarily attributable to increase in gross profit and increase in other income, net as described above in results of operations, partially offset by increases in research and development, and general and administrative expenses as described above in results of operations. The change in operating assets and liabilities had resulted in a reduction of $185.5 million in cash flows period over period, primarily due to a decrease in our accounts payable balances, as payments were made during the current period to our suppliers for previously purchased inventory. We had built up inventory during the first two quarters of the fiscal year as a risk mitigation strategy to provide the Company with supply chain assurance. The inventory build in the first two quarters of the fiscal year was partially funded by customer advances and milestone payments.</w:t>
      </w:r>
    </w:p>
    <w:p>
      <w:pPr>
        <w:spacing w:after="0" w:line="1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flows provided by investing activities were $97.5 million for the nine months ended June 30, 2023, which included $1.9 million purchases of property and equipment, capital expenditures on internal-use software and software to be sold of $7.3 million and $5.0 million investment in joint venture offset by proceeds from short term investments of $111.7 million. Net cash flows used in investing activities were $33.0 million for the nine months ended June 30, 2022, due primarily to payments for acquisition of businesses of $29.2 million.</w:t>
      </w:r>
    </w:p>
    <w:p>
      <w:pPr>
        <w:spacing w:after="0" w:line="1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flows provided by financing activities were approximately $52.6 million for the nine months ended June 30, 2023. The net cash flows provided by financing activities were primarily related to $48.2 million of proceeds from borrowings against notes receivable and $6.0 million of proceeds from the exercise of stock options, offset by $1.6 million related to repurchase of Class A common stock placed in treasury. Net cash flows provided by financing activities were $815.5 million for the nine months ended June 30, 2022, which included $935.8 million net proceeds from issuance of Class A common stock sold in the IPO, net of underwriting discounts and offering expenses, offset by $7.1 million for payments of IPO-related costs, the repayment of $100.0 million short term borrowings from the Line of Credit and the Promissory Notes, a $6.3 million payment of transaction costs related to issuance of membership units, $5.0 million related to repurchase of Class A common stock placed in treasury and $3.1 million payments of debt issuance costs related to the Revolver.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Amended and Restated Credit Support and Reimbursement Agreement initially expires on June 9, 2025 (the “initial expiration date”), and will automatically and indefinitely continue after such date; after such initial expiration date, either AES or Siemens Industry is permitted to terminate the agreement upon six months prior notice. Any credit support under the Credit Support and Reimbursement Agreement will remain in effect after any such termination until such credit support has been replaced by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30, 2022, Siemens Industry, Inc. exercised its redemption right pursuant to the terms of LLC Agreement with respect to its entire holding of 58,586,695 LLC Interests of Fluence Energy, LLC, together with the corresponding cancellation of an equivalent number of shares of Class B-1 common stock of Fluence Energy, Inc., par value $0.00001 per share (the “Redemption”). The Redemption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22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a result of the tax basis adjustment of the assets of Fluence Energy, LLC and its subsidiaries upon the Redemption and our possible utilization of certain tax attributes, the payments that we may make under the Tax Receivable Agreement will be substantial. The Redemption will result in future tax savings of $96.5 million. Siemens will be entitled to receive payments under the Tax Receivable Agreement equaling 85% of such amount, or $82.0 million; assuming, among other factors, (i) we will have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it is not probable payments under the Tax Receivable Agreement would be made, given there is no expectation of future sufficient taxable income over the term of the agreement to utilize the deductions in the future.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Contingent Obligations and Off-Balance Sheet Arrangements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 xml:space="preserve">As of June 30, 2023, the Company had outstanding bank guarantees, parent guarantees and surety bonds issued as performance security arrangements for several customer projects. The Company has certain battery purchase obligations under a master supply agreement with a supplier. We are also party to both assurance and service-type warranties for various lengths of time. See </w:t>
      </w:r>
      <w:r>
        <w:rPr>
          <w:rFonts w:ascii="Arial" w:cs="Arial" w:eastAsia="Arial" w:hAnsi="Arial"/>
          <w:sz w:val="18"/>
          <w:szCs w:val="18"/>
          <w:i w:val="1"/>
          <w:iCs w:val="1"/>
          <w:color w:val="auto"/>
        </w:rPr>
        <w:t>Note 11 - Commitments and Contingencies</w:t>
      </w:r>
      <w:r>
        <w:rPr>
          <w:rFonts w:ascii="Arial" w:cs="Arial" w:eastAsia="Arial" w:hAnsi="Arial"/>
          <w:sz w:val="18"/>
          <w:szCs w:val="18"/>
          <w:color w:val="auto"/>
        </w:rPr>
        <w:t xml:space="preserve"> to our condensed consolidated financial statements included elsewhere in this Report for more information regarding our contingent obligations, including off-balance sheet arrangements, and legal contingencies.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nine months ended June 30, 2023, there was a change in our warranty liability estimation method - Refer to Note 11 -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Other than this change in estimate, there were no other significant changes in application of our critical accounting policies or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from those described under the heading “Management’s Discussion and Analysis of Financial Condition and Results of Operations—Critical Accounting Policies and Use of Estimates” in our 2022 Annual Report and the notes to the audited consolidated financial statements appearing elsewhere in the 2022 Annual Report.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There have been no material changes with respect to our exposure to market risk as disclosed in Part II, Item 7A, “Quantitative and Qualitative Disclosures About Market Risk” of our 2022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carried out an evaluation of the effectiveness of our disclosure controls and procedures (as such term is defined in Rules 13a-15(e) and 15d-15(e) under the Exchange Act) as of June 30, 2023, the end of the period covered by this Report. Based upon that evaluation, and as a result of the material weaknesses described below, management concluded that, as of June 30, 2023, our disclosure controls and procedures were not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and Remediation Measures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a material weakness in the internal control over revenue recognition and related inventory has not been fully remediated. The Company did not sufficiently design and implement controls related to revenue recognition and associated processes, including in-transit and delivered equipment and liquidated damages.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assessed the material weakness as not fully remediated due to the timing of control implementation and operating issues identified in management’s assessment of controls. However, there have been significant efforts and additional controls implemented to address the risks as follows: (1) enhancement of our revenue recognition policies, including training on the policies, (2) implementation of project-level and accounting-level controls to review project costs, liquidated damages, and revenue calculations, (3) implementation of effective controls over account analyses and reconciliations, and (4) hired additional resources and continue to hire to provide necessary expertise to continue to mature the control environment.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are committed to maintaining a strong internal control environment and implementing measures designed to help ensure that control deficiencies contributing to the material weakness are remediated as soon as possible. We will consider the material weakness remediated after the applicable controls operate for a sufficient period of time, and management has concluded, through testing, that the controls are operating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taking actions to remediate the material weakness relating to our internal control over financial reporting. Other than the changes to our internal control over financial reporting described in “Material Weaknesses and Remediation Measures” above, there were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involved in litigation relating to claims that arise out of our operations and business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contingencies, please see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unaudited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have been no material changes with respect to our risk factors previously disclosed in our 2022 Annual Report, other than as set forth below. You should carefully consider the risks described in Item 1A. "Risk Factors" of our 2022 Annual Report, and all of the other information included in this Report, before making an investment decision. Our business, financial condition and results of operations could be materially and adversely affected by any of these risks or uncertainties.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incentives for, or regulations mandating the use of, renewable energy could impact demand for energy storage products and harm our business.</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Federal, state, local, and foreign government bodies provide incentives to owners, end users, distributors, system integrators and manufacturers of renewable energy products to promote renewable electricity in the form of rebates, tax credits and other financial incentives. The range and duration of these incentives varies widely by jurisdiction. Our customers typically use our products for grid-connected applications wherein power is sold under a power purchase agreement or into an organized electric market. The reduction, elimination, or expiration of government incentives for grid-connected electricity may negatively affect the competitiveness of our offerings relative to conventional renewable sources of electricity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therefore could harm our business and cash flows.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2022, the United States passed the Inflation Reduction Act of 2022 (the “IRA”), which includes a number of government incentives that support the adoption of energy storage products and services and are anticipated to benefit the Company and its operations. The impact of the IRA and its accompanying guidance to our operations cannot be known with certainty and we may not recognize the benefits we anticipate. We are continuing to evaluate the potential overall impact and applicability of the IRA on our business and operations. To the extent that any changes resulting from the IRA are less beneficial than anticipated or have a negative impact on us or our business, these changes may materially and adversely impact our business, financial condition, and results of operations.</w:t>
      </w:r>
    </w:p>
    <w:p>
      <w:pPr>
        <w:spacing w:after="0" w:line="219"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1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While we do not have any exposure to these banks, we do hold the cash and cash equivalents used to meet our working capital and operating expense needs at financial institutions often in balances that exceed the current FDIC insurance limits. If other banks and financial institutions enter receivership or become insolvent 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future, our ability to access our cash and cash equivalents to satisfy our operations may be threatened and could have a material adverse effect on our business and financial condition. We may also lose amounts in excess of the FDIC insurance limits and there can be no guarantee that the government would intervene.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2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regarding the foregoing.</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contractual obligations.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Estimation uncertainty related to our product warranties for our energy storage products, which are complex, could contain defects, and/ or may not operate at expected performance levels, may cause us to continue to incur additional warranty expenses and could adversely affect our business and results of operations.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offer standard limited assurance type product warranties, as well as extended service type warranties. Our limited warranties cover defects in materials and workmanship of our products for normal use and service conditions typically between one and five years following commercial operation date or substantial completion depending on the contract. As a result, we bear the risk of warranty claims long after we have sold the product and recognized revenue. Our estimated costs of warranty for previously sold products may change to the extent future products may not be compatible with earlier generation products under warranty. Furthermore, as we are in a rapidly evolving industry, there is higher degree of uncertainty regarding estimated warranty costs due to limited data. We lack sufficient operating history to fully confirm how our product will perform over the estimated warranty period and the estimated reserve may have material changes. In addition, under real world operating conditions, which may vary by location and design, as well as environmental conditions, our product may perform in a different way than under standard test conditions or other failure data sets. We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market reputation could be significantly impaired and we may lose, or be unable to gain or retain, customers which could impact our business and results of operations</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Because of the limited operating history of our products, we have been required to make assumptions and apply judgments, including the durability and reliability of our products, performance over the estimated warranty period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could cause us to increase the amount of warranty obligations and may adversely impact on our results of operations. If our warranty reserves are inadequate to cover future warranty claims on our energy storage products, our financial condition and results of operations will be adversely affected. Warranty reserves include our management’s best estimates of the projected costs to repair or to replace items under warranty, which is based on estimated failure rates. Such estimates are inherently uncertain and changes to our historical or projected experience, especially with respect to Energy products which are still in development and which we expect to produce at significantly greater volumes than our past products, may cause material changes to our warranty reserves in the future.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Director and Officer Rule 10b5-1 Trading Arrangements</w:t>
      </w:r>
    </w:p>
    <w:p>
      <w:pPr>
        <w:spacing w:after="0" w:line="24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During the three months ended June 30, 2023, the following directors or “officers” (as defined in Rule 16a-1(f) under the Exchange Act) of the Company adopted, modified or terminated “Rule 10b5-1 trading arrangements” and/or “non-Rule 10b5-1 trading arrangements” (each as defined in Item 408 of Regulation S-K).</w:t>
      </w:r>
    </w:p>
    <w:p>
      <w:pPr>
        <w:spacing w:after="0" w:line="19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On June 9, 2023, Manavendra Sial, the Company’s Senior Vice President and Chief Financial Officer, adopted a Rule 10b5-1 sales plan that is intended to satisfy the affirmative defense of Rule 10b5-1(c) (the “Sial Plan”). The Sial Plan provides for the potential sale of an aggregate of 21,750 share of Class A common stock (three sales of 7,250 shares) to cover estimated tax obligations upon each of the three annual vesting dates of Mr. Sial’s previously granted initial equity award). The Sial Plan terminates on the earlier of (i) October 1, 2025, or (ii) such date the Sial Plan is otherwise terminated according to its terms.</w:t>
      </w:r>
    </w:p>
    <w:p>
      <w:pPr>
        <w:spacing w:after="0" w:line="21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14, 2023, Rebecca Boll, the Company’s Senior Vice President and Chief Product Officer, adopted a Rule 10b5-1 sales plan that is intended to satisfy the affirmative defense of Rule 10b5-1(c) (the “Boll Plan”). The Boll Plan provides for (i) the potential exercise of vested stock options and the associated sale of up to an aggregate of 75,000 shares of Class A common stock and (ii) the potential sale of up to 28,917 shares of Class A common stock. The Boll Plan terminates on the earlier of (i) September 2, 2024, or (ii) such date the Boll Plan is otherwise terminated according to its terms.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2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Exhibit</w:t>
            </w: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4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No.</w:t>
            </w:r>
          </w:p>
        </w:tc>
        <w:tc>
          <w:tcPr>
            <w:tcW w:w="5160" w:type="dxa"/>
            <w:vAlign w:val="bottom"/>
            <w:gridSpan w:val="21"/>
          </w:tcPr>
          <w:p>
            <w:pPr>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3280" w:type="dxa"/>
            <w:vAlign w:val="bottom"/>
            <w:gridSpan w:val="2"/>
          </w:tcPr>
          <w:p>
            <w:pPr>
              <w:ind w:left="700"/>
              <w:spacing w:after="0"/>
              <w:rPr>
                <w:sz w:val="20"/>
                <w:szCs w:val="20"/>
                <w:color w:val="auto"/>
              </w:rPr>
            </w:pPr>
            <w:r>
              <w:rPr>
                <w:rFonts w:ascii="Arial" w:cs="Arial" w:eastAsia="Arial" w:hAnsi="Arial"/>
                <w:sz w:val="14"/>
                <w:szCs w:val="14"/>
                <w:b w:val="1"/>
                <w:bCs w:val="1"/>
                <w:color w:val="auto"/>
              </w:rPr>
              <w:t>Exhibit No. Filing Date</w:t>
            </w:r>
          </w:p>
        </w:tc>
        <w:tc>
          <w:tcPr>
            <w:tcW w:w="0" w:type="dxa"/>
            <w:vAlign w:val="bottom"/>
          </w:tcPr>
          <w:p>
            <w:pPr>
              <w:spacing w:after="0"/>
              <w:rPr>
                <w:sz w:val="1"/>
                <w:szCs w:val="1"/>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jc w:val="center"/>
              <w:ind w:right="32"/>
              <w:spacing w:after="0" w:line="196" w:lineRule="exact"/>
              <w:rPr>
                <w:sz w:val="20"/>
                <w:szCs w:val="20"/>
                <w:color w:val="auto"/>
              </w:rPr>
            </w:pPr>
            <w:r>
              <w:rPr>
                <w:rFonts w:ascii="Arial" w:cs="Arial" w:eastAsia="Arial" w:hAnsi="Arial"/>
                <w:sz w:val="18"/>
                <w:szCs w:val="18"/>
                <w:color w:val="auto"/>
                <w:w w:val="95"/>
              </w:rPr>
              <w:t>3.1</w:t>
            </w:r>
          </w:p>
        </w:tc>
        <w:tc>
          <w:tcPr>
            <w:tcW w:w="5160" w:type="dxa"/>
            <w:vAlign w:val="bottom"/>
            <w:gridSpan w:val="21"/>
            <w:shd w:val="clear" w:color="auto" w:fill="CCEEFF"/>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Amended and Restated Certificate of Incorporation of Fluence Energy,</w:t>
              </w:r>
            </w:hyperlink>
          </w:p>
        </w:tc>
        <w:tc>
          <w:tcPr>
            <w:tcW w:w="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0"/>
              </w:rPr>
              <w:t>001-40978</w:t>
            </w:r>
          </w:p>
        </w:tc>
        <w:tc>
          <w:tcPr>
            <w:tcW w:w="1200" w:type="dxa"/>
            <w:vAlign w:val="bottom"/>
            <w:shd w:val="clear" w:color="auto" w:fill="CCEEFF"/>
          </w:tcPr>
          <w:p>
            <w:pPr>
              <w:ind w:left="700"/>
              <w:spacing w:after="0" w:line="196" w:lineRule="exact"/>
              <w:rPr>
                <w:sz w:val="20"/>
                <w:szCs w:val="20"/>
                <w:color w:val="auto"/>
              </w:rPr>
            </w:pPr>
            <w:r>
              <w:rPr>
                <w:rFonts w:ascii="Arial" w:cs="Arial" w:eastAsia="Arial" w:hAnsi="Arial"/>
                <w:sz w:val="18"/>
                <w:szCs w:val="18"/>
                <w:color w:val="auto"/>
              </w:rPr>
              <w:t>3.1</w:t>
            </w:r>
          </w:p>
        </w:tc>
        <w:tc>
          <w:tcPr>
            <w:tcW w:w="20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83"/>
        </w:trPr>
        <w:tc>
          <w:tcPr>
            <w:tcW w:w="1240" w:type="dxa"/>
            <w:vAlign w:val="bottom"/>
            <w:tcBorders>
              <w:top w:val="single" w:sz="8" w:color="CCEEFF"/>
            </w:tcBorders>
            <w:shd w:val="clear" w:color="auto" w:fill="CCEEFF"/>
          </w:tcPr>
          <w:p>
            <w:pPr>
              <w:spacing w:after="0"/>
              <w:rPr>
                <w:sz w:val="15"/>
                <w:szCs w:val="15"/>
                <w:color w:val="auto"/>
              </w:rPr>
            </w:pPr>
          </w:p>
        </w:tc>
        <w:tc>
          <w:tcPr>
            <w:tcW w:w="5100" w:type="dxa"/>
            <w:vAlign w:val="bottom"/>
            <w:tcBorders>
              <w:top w:val="single" w:sz="8" w:color="0000FF"/>
            </w:tcBorders>
            <w:gridSpan w:val="19"/>
            <w:shd w:val="clear" w:color="auto" w:fill="CCEEFF"/>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Inc.</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5"/>
              </w:rPr>
              <w:t>3.2</w:t>
            </w:r>
          </w:p>
        </w:tc>
        <w:tc>
          <w:tcPr>
            <w:tcW w:w="4400" w:type="dxa"/>
            <w:vAlign w:val="bottom"/>
            <w:tcBorders>
              <w:bottom w:val="single" w:sz="8" w:color="0000FF"/>
            </w:tcBorders>
            <w:gridSpan w:val="7"/>
          </w:tcPr>
          <w:p>
            <w:pPr>
              <w:spacing w:after="0" w:line="202"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First Certificate of Amendment to the Amended and Restated</w:t>
              </w:r>
            </w:hyperlink>
          </w:p>
        </w:tc>
        <w:tc>
          <w:tcPr>
            <w:tcW w:w="760" w:type="dxa"/>
            <w:vAlign w:val="bottom"/>
            <w:gridSpan w:val="14"/>
          </w:tcPr>
          <w:p>
            <w:pPr>
              <w:spacing w:after="0"/>
              <w:rPr>
                <w:sz w:val="17"/>
                <w:szCs w:val="17"/>
                <w:color w:val="auto"/>
              </w:rPr>
            </w:pPr>
          </w:p>
        </w:tc>
        <w:tc>
          <w:tcPr>
            <w:tcW w:w="560" w:type="dxa"/>
            <w:vAlign w:val="bottom"/>
          </w:tcPr>
          <w:p>
            <w:pPr>
              <w:ind w:left="20"/>
              <w:spacing w:after="0" w:line="202" w:lineRule="exact"/>
              <w:rPr>
                <w:sz w:val="20"/>
                <w:szCs w:val="20"/>
                <w:color w:val="auto"/>
              </w:rPr>
            </w:pPr>
            <w:r>
              <w:rPr>
                <w:rFonts w:ascii="Arial" w:cs="Arial" w:eastAsia="Arial" w:hAnsi="Arial"/>
                <w:sz w:val="18"/>
                <w:szCs w:val="18"/>
                <w:color w:val="auto"/>
              </w:rPr>
              <w:t>8-K</w:t>
            </w:r>
          </w:p>
        </w:tc>
        <w:tc>
          <w:tcPr>
            <w:tcW w:w="1000" w:type="dxa"/>
            <w:vAlign w:val="bottom"/>
          </w:tcPr>
          <w:p>
            <w:pPr>
              <w:ind w:left="200"/>
              <w:spacing w:after="0" w:line="202" w:lineRule="exact"/>
              <w:rPr>
                <w:sz w:val="20"/>
                <w:szCs w:val="20"/>
                <w:color w:val="auto"/>
              </w:rPr>
            </w:pPr>
            <w:r>
              <w:rPr>
                <w:rFonts w:ascii="Arial" w:cs="Arial" w:eastAsia="Arial" w:hAnsi="Arial"/>
                <w:sz w:val="18"/>
                <w:szCs w:val="18"/>
                <w:color w:val="auto"/>
                <w:w w:val="90"/>
              </w:rPr>
              <w:t>001-40978</w:t>
            </w:r>
          </w:p>
        </w:tc>
        <w:tc>
          <w:tcPr>
            <w:tcW w:w="1200" w:type="dxa"/>
            <w:vAlign w:val="bottom"/>
          </w:tcPr>
          <w:p>
            <w:pPr>
              <w:ind w:left="700"/>
              <w:spacing w:after="0" w:line="202" w:lineRule="exact"/>
              <w:rPr>
                <w:sz w:val="20"/>
                <w:szCs w:val="20"/>
                <w:color w:val="auto"/>
              </w:rPr>
            </w:pPr>
            <w:r>
              <w:rPr>
                <w:rFonts w:ascii="Arial" w:cs="Arial" w:eastAsia="Arial" w:hAnsi="Arial"/>
                <w:sz w:val="18"/>
                <w:szCs w:val="18"/>
                <w:color w:val="auto"/>
              </w:rPr>
              <w:t>3.1</w:t>
            </w:r>
          </w:p>
        </w:tc>
        <w:tc>
          <w:tcPr>
            <w:tcW w:w="2080" w:type="dxa"/>
            <w:vAlign w:val="bottom"/>
          </w:tcPr>
          <w:p>
            <w:pPr>
              <w:ind w:left="260"/>
              <w:spacing w:after="0" w:line="202" w:lineRule="exact"/>
              <w:rPr>
                <w:sz w:val="20"/>
                <w:szCs w:val="20"/>
                <w:color w:val="auto"/>
              </w:rPr>
            </w:pPr>
            <w:r>
              <w:rPr>
                <w:rFonts w:ascii="Arial" w:cs="Arial" w:eastAsia="Arial" w:hAnsi="Arial"/>
                <w:sz w:val="18"/>
                <w:szCs w:val="18"/>
                <w:color w:val="auto"/>
              </w:rPr>
              <w:t>December 22, 2022</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5160" w:type="dxa"/>
            <w:vAlign w:val="bottom"/>
            <w:gridSpan w:val="21"/>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Certificate of Incorporation of Fluence Energy, Inc.</w:t>
              </w:r>
            </w:hyperlink>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5"/>
              </w:rPr>
              <w:t>3.3</w:t>
            </w:r>
          </w:p>
        </w:tc>
        <w:tc>
          <w:tcPr>
            <w:tcW w:w="5160" w:type="dxa"/>
            <w:vAlign w:val="bottom"/>
            <w:gridSpan w:val="21"/>
            <w:shd w:val="clear" w:color="auto" w:fill="CCEEFF"/>
          </w:tcPr>
          <w:p>
            <w:pPr>
              <w:spacing w:after="0" w:line="189" w:lineRule="exact"/>
              <w:rPr>
                <w:rFonts w:ascii="Arial" w:cs="Arial" w:eastAsia="Arial" w:hAnsi="Arial"/>
                <w:sz w:val="18"/>
                <w:szCs w:val="18"/>
                <w:color w:val="0000FF"/>
              </w:rPr>
            </w:pPr>
            <w:hyperlink r:id="rId90">
              <w:r>
                <w:rPr>
                  <w:rFonts w:ascii="Arial" w:cs="Arial" w:eastAsia="Arial" w:hAnsi="Arial"/>
                  <w:sz w:val="18"/>
                  <w:szCs w:val="18"/>
                  <w:color w:val="0000FF"/>
                </w:rPr>
                <w:t>Amended and Restated Bylaws of Fluence Energy, Inc.</w:t>
              </w:r>
            </w:hyperlink>
          </w:p>
        </w:tc>
        <w:tc>
          <w:tcPr>
            <w:tcW w:w="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0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0"/>
              </w:rPr>
              <w:t>001-40978</w:t>
            </w:r>
          </w:p>
        </w:tc>
        <w:tc>
          <w:tcPr>
            <w:tcW w:w="1200" w:type="dxa"/>
            <w:vAlign w:val="bottom"/>
            <w:shd w:val="clear" w:color="auto" w:fill="CCEEFF"/>
          </w:tcPr>
          <w:p>
            <w:pPr>
              <w:ind w:left="700"/>
              <w:spacing w:after="0" w:line="189" w:lineRule="exact"/>
              <w:rPr>
                <w:sz w:val="20"/>
                <w:szCs w:val="20"/>
                <w:color w:val="auto"/>
              </w:rPr>
            </w:pPr>
            <w:r>
              <w:rPr>
                <w:rFonts w:ascii="Arial" w:cs="Arial" w:eastAsia="Arial" w:hAnsi="Arial"/>
                <w:sz w:val="18"/>
                <w:szCs w:val="18"/>
                <w:color w:val="auto"/>
              </w:rPr>
              <w:t>3.2</w:t>
            </w:r>
          </w:p>
        </w:tc>
        <w:tc>
          <w:tcPr>
            <w:tcW w:w="208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5"/>
              </w:rPr>
              <w:t>10.1*</w:t>
            </w:r>
          </w:p>
        </w:tc>
        <w:tc>
          <w:tcPr>
            <w:tcW w:w="5160" w:type="dxa"/>
            <w:vAlign w:val="bottom"/>
            <w:gridSpan w:val="21"/>
          </w:tcPr>
          <w:p>
            <w:pPr>
              <w:spacing w:after="0" w:line="189" w:lineRule="exact"/>
              <w:rPr>
                <w:sz w:val="20"/>
                <w:szCs w:val="20"/>
                <w:color w:val="auto"/>
              </w:rPr>
            </w:pPr>
            <w:r>
              <w:rPr>
                <w:rFonts w:ascii="Arial" w:cs="Arial" w:eastAsia="Arial" w:hAnsi="Arial"/>
                <w:sz w:val="18"/>
                <w:szCs w:val="18"/>
                <w:color w:val="0000FF"/>
              </w:rPr>
              <w:t>Amendment No. 2, dated May 19, 2023, to Revolving Credit</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43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89"/>
              </w:rPr>
              <w:t>Agreement, dated November 1, 2021, by and among Fluence</w:t>
            </w:r>
          </w:p>
        </w:tc>
        <w:tc>
          <w:tcPr>
            <w:tcW w:w="780" w:type="dxa"/>
            <w:vAlign w:val="bottom"/>
            <w:gridSpan w:val="15"/>
          </w:tcPr>
          <w:p>
            <w:pPr>
              <w:jc w:val="right"/>
              <w:ind w:right="180"/>
              <w:spacing w:after="0" w:line="169" w:lineRule="exact"/>
              <w:rPr>
                <w:sz w:val="20"/>
                <w:szCs w:val="20"/>
                <w:color w:val="auto"/>
              </w:rPr>
            </w:pPr>
            <w:r>
              <w:rPr>
                <w:rFonts w:ascii="Arial" w:cs="Arial" w:eastAsia="Arial" w:hAnsi="Arial"/>
                <w:sz w:val="18"/>
                <w:szCs w:val="18"/>
                <w:color w:val="0000FF"/>
                <w:w w:val="93"/>
              </w:rPr>
              <w:t>Energy,</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88"/>
              </w:rPr>
              <w:t>LLC, as the borrower, Fluence Energy, Inc., as a parent guarantor, the</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860" w:type="dxa"/>
            <w:vAlign w:val="bottom"/>
            <w:tcBorders>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88"/>
              </w:rPr>
              <w:t>subsidiary guarantors party thereto, the lenders party thereto and JP</w:t>
            </w: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160" w:type="dxa"/>
            <w:vAlign w:val="bottom"/>
            <w:gridSpan w:val="21"/>
          </w:tcPr>
          <w:p>
            <w:pPr>
              <w:spacing w:after="0" w:line="169" w:lineRule="exact"/>
              <w:rPr>
                <w:sz w:val="20"/>
                <w:szCs w:val="20"/>
                <w:color w:val="auto"/>
              </w:rPr>
            </w:pPr>
            <w:r>
              <w:rPr>
                <w:rFonts w:ascii="Arial" w:cs="Arial" w:eastAsia="Arial" w:hAnsi="Arial"/>
                <w:sz w:val="18"/>
                <w:szCs w:val="18"/>
                <w:color w:val="0000FF"/>
                <w:w w:val="90"/>
              </w:rPr>
              <w:t>Morgan Chase Bank, N.A., as administrative agent and collateral agent</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5"/>
              </w:rPr>
              <w:t>10.2*</w:t>
            </w:r>
          </w:p>
        </w:tc>
        <w:tc>
          <w:tcPr>
            <w:tcW w:w="516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rPr>
              <w:t>Amendment No. 3, dated August 8, 2023, to Revolving Credit</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0000FF"/>
            </w:tcBorders>
            <w:gridSpan w:val="8"/>
            <w:shd w:val="clear" w:color="auto" w:fill="CCEEFF"/>
          </w:tcPr>
          <w:p>
            <w:pPr>
              <w:spacing w:after="0" w:line="156" w:lineRule="exact"/>
              <w:rPr>
                <w:sz w:val="20"/>
                <w:szCs w:val="20"/>
                <w:color w:val="auto"/>
              </w:rPr>
            </w:pPr>
            <w:r>
              <w:rPr>
                <w:rFonts w:ascii="Arial" w:cs="Arial" w:eastAsia="Arial" w:hAnsi="Arial"/>
                <w:sz w:val="18"/>
                <w:szCs w:val="18"/>
                <w:color w:val="0000FF"/>
                <w:w w:val="90"/>
              </w:rPr>
              <w:t>Agreement, dated November 1, 2021, by and among Fluence</w:t>
            </w:r>
          </w:p>
        </w:tc>
        <w:tc>
          <w:tcPr>
            <w:tcW w:w="700" w:type="dxa"/>
            <w:vAlign w:val="bottom"/>
            <w:tcBorders>
              <w:top w:val="single" w:sz="8" w:color="CCEEFF"/>
            </w:tcBorders>
            <w:gridSpan w:val="13"/>
            <w:shd w:val="clear" w:color="auto" w:fill="CCEEFF"/>
          </w:tcPr>
          <w:p>
            <w:pPr>
              <w:jc w:val="right"/>
              <w:ind w:right="180"/>
              <w:spacing w:after="0" w:line="156" w:lineRule="exact"/>
              <w:rPr>
                <w:sz w:val="20"/>
                <w:szCs w:val="20"/>
                <w:color w:val="auto"/>
              </w:rPr>
            </w:pPr>
            <w:r>
              <w:rPr>
                <w:rFonts w:ascii="Arial" w:cs="Arial" w:eastAsia="Arial" w:hAnsi="Arial"/>
                <w:sz w:val="18"/>
                <w:szCs w:val="18"/>
                <w:color w:val="0000FF"/>
                <w:w w:val="80"/>
              </w:rPr>
              <w:t>Energy,</w:t>
            </w: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5000" w:type="dxa"/>
            <w:vAlign w:val="bottom"/>
            <w:tcBorders>
              <w:top w:val="single" w:sz="8" w:color="0000FF"/>
            </w:tcBorders>
            <w:gridSpan w:val="14"/>
            <w:shd w:val="clear" w:color="auto" w:fill="CCEEFF"/>
          </w:tcPr>
          <w:p>
            <w:pPr>
              <w:spacing w:after="0" w:line="169" w:lineRule="exact"/>
              <w:rPr>
                <w:sz w:val="20"/>
                <w:szCs w:val="20"/>
                <w:color w:val="auto"/>
              </w:rPr>
            </w:pPr>
            <w:r>
              <w:rPr>
                <w:rFonts w:ascii="Arial" w:cs="Arial" w:eastAsia="Arial" w:hAnsi="Arial"/>
                <w:sz w:val="18"/>
                <w:szCs w:val="18"/>
                <w:color w:val="0000FF"/>
                <w:w w:val="88"/>
              </w:rPr>
              <w:t>LLC, as the borrower, Fluence Energy, Inc., as a parent guarantor, the</w:t>
            </w: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4860" w:type="dxa"/>
            <w:vAlign w:val="bottom"/>
            <w:tcBorders>
              <w:top w:val="single" w:sz="8" w:color="0000FF"/>
              <w:bottom w:val="single" w:sz="8" w:color="0000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FF"/>
                <w:w w:val="88"/>
              </w:rPr>
              <w:t>subsidiary guarantors party thereto, the lenders party thereto and JP</w:t>
            </w:r>
          </w:p>
        </w:tc>
        <w:tc>
          <w:tcPr>
            <w:tcW w:w="16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20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CCEEFF"/>
            </w:tcBorders>
            <w:shd w:val="clear" w:color="auto" w:fill="CCEEFF"/>
          </w:tcPr>
          <w:p>
            <w:pPr>
              <w:spacing w:after="0"/>
              <w:rPr>
                <w:sz w:val="16"/>
                <w:szCs w:val="16"/>
                <w:color w:val="auto"/>
              </w:rPr>
            </w:pPr>
          </w:p>
        </w:tc>
        <w:tc>
          <w:tcPr>
            <w:tcW w:w="5120" w:type="dxa"/>
            <w:vAlign w:val="bottom"/>
            <w:tcBorders>
              <w:bottom w:val="single" w:sz="8" w:color="0000FF"/>
            </w:tcBorders>
            <w:gridSpan w:val="20"/>
            <w:shd w:val="clear" w:color="auto" w:fill="CCEEFF"/>
          </w:tcPr>
          <w:p>
            <w:pPr>
              <w:spacing w:after="0" w:line="156" w:lineRule="exact"/>
              <w:rPr>
                <w:sz w:val="20"/>
                <w:szCs w:val="20"/>
                <w:color w:val="auto"/>
              </w:rPr>
            </w:pPr>
            <w:r>
              <w:rPr>
                <w:rFonts w:ascii="Arial" w:cs="Arial" w:eastAsia="Arial" w:hAnsi="Arial"/>
                <w:sz w:val="18"/>
                <w:szCs w:val="18"/>
                <w:color w:val="0000FF"/>
                <w:w w:val="90"/>
              </w:rPr>
              <w:t>Morgan Chase Bank, N.A., as administrative agent and collateral agent</w:t>
            </w:r>
          </w:p>
        </w:tc>
        <w:tc>
          <w:tcPr>
            <w:tcW w:w="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5"/>
              </w:rPr>
              <w:t>31.1*</w:t>
            </w:r>
          </w:p>
        </w:tc>
        <w:tc>
          <w:tcPr>
            <w:tcW w:w="5160" w:type="dxa"/>
            <w:vAlign w:val="bottom"/>
            <w:gridSpan w:val="21"/>
          </w:tcPr>
          <w:p>
            <w:pPr>
              <w:spacing w:after="0" w:line="189" w:lineRule="exact"/>
              <w:rPr>
                <w:sz w:val="20"/>
                <w:szCs w:val="20"/>
                <w:color w:val="auto"/>
              </w:rPr>
            </w:pPr>
            <w:r>
              <w:rPr>
                <w:rFonts w:ascii="Arial" w:cs="Arial" w:eastAsia="Arial" w:hAnsi="Arial"/>
                <w:sz w:val="18"/>
                <w:szCs w:val="18"/>
                <w:color w:val="0000FF"/>
                <w:w w:val="98"/>
              </w:rPr>
              <w:t>Certification of the Company’s Chief Executive Officer pursuant to</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84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0"/>
              </w:rPr>
              <w:t>Rule 13a-14(a) and Rule 15d-14(a) of the Securities Exchange Act</w:t>
            </w:r>
          </w:p>
        </w:tc>
        <w:tc>
          <w:tcPr>
            <w:tcW w:w="320" w:type="dxa"/>
            <w:vAlign w:val="bottom"/>
            <w:gridSpan w:val="10"/>
          </w:tcPr>
          <w:p>
            <w:pPr>
              <w:jc w:val="right"/>
              <w:ind w:right="180"/>
              <w:spacing w:after="0" w:line="156" w:lineRule="exact"/>
              <w:rPr>
                <w:sz w:val="20"/>
                <w:szCs w:val="20"/>
                <w:color w:val="auto"/>
              </w:rPr>
            </w:pPr>
            <w:r>
              <w:rPr>
                <w:rFonts w:ascii="Arial" w:cs="Arial" w:eastAsia="Arial" w:hAnsi="Arial"/>
                <w:sz w:val="18"/>
                <w:szCs w:val="18"/>
                <w:color w:val="0000FF"/>
                <w:w w:val="79"/>
              </w:rPr>
              <w:t>of</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87"/>
              </w:rPr>
              <w:t>1934, as amended, pursuant to Section 302 of the Sarbanes-Oxley Act</w:t>
            </w: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060" w:type="dxa"/>
            <w:vAlign w:val="bottom"/>
            <w:gridSpan w:val="17"/>
          </w:tcPr>
          <w:p>
            <w:pPr>
              <w:spacing w:after="0" w:line="169"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5"/>
              </w:rPr>
              <w:t>31.2*</w:t>
            </w:r>
          </w:p>
        </w:tc>
        <w:tc>
          <w:tcPr>
            <w:tcW w:w="516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the Company’s Chief Financial Officer pursuant to</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4800" w:type="dxa"/>
            <w:vAlign w:val="bottom"/>
            <w:tcBorders>
              <w:top w:val="single" w:sz="8" w:color="0000FF"/>
            </w:tcBorders>
            <w:gridSpan w:val="10"/>
            <w:shd w:val="clear" w:color="auto" w:fill="CCEEFF"/>
          </w:tcPr>
          <w:p>
            <w:pPr>
              <w:spacing w:after="0" w:line="156" w:lineRule="exact"/>
              <w:rPr>
                <w:sz w:val="20"/>
                <w:szCs w:val="20"/>
                <w:color w:val="auto"/>
              </w:rPr>
            </w:pPr>
            <w:r>
              <w:rPr>
                <w:rFonts w:ascii="Arial" w:cs="Arial" w:eastAsia="Arial" w:hAnsi="Arial"/>
                <w:sz w:val="18"/>
                <w:szCs w:val="18"/>
                <w:color w:val="0000FF"/>
                <w:w w:val="90"/>
              </w:rPr>
              <w:t>Rule 13a-14(a) and Rule 15d-14(a) of the Securities Exchange Act</w:t>
            </w:r>
          </w:p>
        </w:tc>
        <w:tc>
          <w:tcPr>
            <w:tcW w:w="360" w:type="dxa"/>
            <w:vAlign w:val="bottom"/>
            <w:tcBorders>
              <w:top w:val="single" w:sz="8" w:color="CCEEFF"/>
            </w:tcBorders>
            <w:gridSpan w:val="11"/>
            <w:shd w:val="clear" w:color="auto" w:fill="CCEEFF"/>
          </w:tcPr>
          <w:p>
            <w:pPr>
              <w:jc w:val="right"/>
              <w:ind w:right="180"/>
              <w:spacing w:after="0" w:line="156" w:lineRule="exact"/>
              <w:rPr>
                <w:sz w:val="20"/>
                <w:szCs w:val="20"/>
                <w:color w:val="auto"/>
              </w:rPr>
            </w:pPr>
            <w:r>
              <w:rPr>
                <w:rFonts w:ascii="Arial" w:cs="Arial" w:eastAsia="Arial" w:hAnsi="Arial"/>
                <w:sz w:val="18"/>
                <w:szCs w:val="18"/>
                <w:color w:val="0000FF"/>
              </w:rPr>
              <w:t>of</w:t>
            </w:r>
          </w:p>
        </w:tc>
        <w:tc>
          <w:tcPr>
            <w:tcW w:w="5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4980" w:type="dxa"/>
            <w:vAlign w:val="bottom"/>
            <w:tcBorders>
              <w:top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w w:val="87"/>
              </w:rPr>
              <w:t>1934, as amended, pursuant to Section 302 of the Sarbanes-Oxley Act</w:t>
            </w: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Arial" w:cs="Arial" w:eastAsia="Arial" w:hAnsi="Arial"/>
                <w:sz w:val="18"/>
                <w:szCs w:val="18"/>
                <w:color w:val="0000FF"/>
                <w:w w:val="89"/>
              </w:rPr>
              <w:t>of 2002.</w:t>
            </w:r>
          </w:p>
        </w:tc>
        <w:tc>
          <w:tcPr>
            <w:tcW w:w="446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7"/>
              </w:rPr>
              <w:t>32.1**</w:t>
            </w:r>
          </w:p>
        </w:tc>
        <w:tc>
          <w:tcPr>
            <w:tcW w:w="5160" w:type="dxa"/>
            <w:vAlign w:val="bottom"/>
            <w:gridSpan w:val="21"/>
          </w:tcPr>
          <w:p>
            <w:pPr>
              <w:spacing w:after="0" w:line="189" w:lineRule="exact"/>
              <w:rPr>
                <w:sz w:val="20"/>
                <w:szCs w:val="20"/>
                <w:color w:val="auto"/>
              </w:rPr>
            </w:pPr>
            <w:r>
              <w:rPr>
                <w:rFonts w:ascii="Arial" w:cs="Arial" w:eastAsia="Arial" w:hAnsi="Arial"/>
                <w:sz w:val="18"/>
                <w:szCs w:val="18"/>
                <w:color w:val="0000FF"/>
                <w:w w:val="93"/>
              </w:rPr>
              <w:t>Certification of the Company’s Chief Executive Officer pursuant to 18</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08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99"/>
              </w:rPr>
              <w:t>U.S.C. Section 1350, as adopted pursuant to Section 906 of the</w:t>
            </w:r>
          </w:p>
        </w:tc>
        <w:tc>
          <w:tcPr>
            <w:tcW w:w="8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52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Sarbanes-Oxley Act of 2002.</w:t>
            </w:r>
          </w:p>
        </w:tc>
        <w:tc>
          <w:tcPr>
            <w:tcW w:w="520" w:type="dxa"/>
            <w:vAlign w:val="bottom"/>
            <w:gridSpan w:val="7"/>
          </w:tcPr>
          <w:p>
            <w:pPr>
              <w:spacing w:after="0"/>
              <w:rPr>
                <w:sz w:val="13"/>
                <w:szCs w:val="13"/>
                <w:color w:val="auto"/>
              </w:rPr>
            </w:pPr>
          </w:p>
        </w:tc>
        <w:tc>
          <w:tcPr>
            <w:tcW w:w="12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center"/>
              <w:ind w:right="32"/>
              <w:spacing w:after="0" w:line="189" w:lineRule="exact"/>
              <w:rPr>
                <w:sz w:val="20"/>
                <w:szCs w:val="20"/>
                <w:color w:val="auto"/>
              </w:rPr>
            </w:pPr>
            <w:r>
              <w:rPr>
                <w:rFonts w:ascii="Arial" w:cs="Arial" w:eastAsia="Arial" w:hAnsi="Arial"/>
                <w:sz w:val="18"/>
                <w:szCs w:val="18"/>
                <w:color w:val="auto"/>
                <w:w w:val="97"/>
              </w:rPr>
              <w:t>32.2**</w:t>
            </w:r>
          </w:p>
        </w:tc>
        <w:tc>
          <w:tcPr>
            <w:tcW w:w="516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color w:val="0000FF"/>
                <w:w w:val="94"/>
              </w:rPr>
              <w:t>Certification of the Company’s Chief Financial Officer pursuant to 18</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0000FF"/>
            </w:tcBorders>
            <w:gridSpan w:val="16"/>
            <w:shd w:val="clear" w:color="auto" w:fill="CCEEFF"/>
          </w:tcPr>
          <w:p>
            <w:pPr>
              <w:spacing w:after="0" w:line="169" w:lineRule="exact"/>
              <w:rPr>
                <w:sz w:val="20"/>
                <w:szCs w:val="20"/>
                <w:color w:val="auto"/>
              </w:rPr>
            </w:pPr>
            <w:r>
              <w:rPr>
                <w:rFonts w:ascii="Arial" w:cs="Arial" w:eastAsia="Arial" w:hAnsi="Arial"/>
                <w:sz w:val="18"/>
                <w:szCs w:val="18"/>
                <w:color w:val="0000FF"/>
                <w:w w:val="98"/>
              </w:rPr>
              <w:t>U.S.C. Section 1350, as adopted pursuant to Section 906 of the</w:t>
            </w:r>
          </w:p>
        </w:tc>
        <w:tc>
          <w:tcPr>
            <w:tcW w:w="120" w:type="dxa"/>
            <w:vAlign w:val="bottom"/>
            <w:tcBorders>
              <w:top w:val="single" w:sz="8" w:color="CCEEFF"/>
            </w:tcBorders>
            <w:gridSpan w:val="5"/>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Arial" w:cs="Arial" w:eastAsia="Arial" w:hAnsi="Arial"/>
                <w:sz w:val="18"/>
                <w:szCs w:val="18"/>
                <w:color w:val="0000FF"/>
                <w:w w:val="89"/>
              </w:rPr>
              <w:t>Sarbanes-Oxley Act of 2002.</w:t>
            </w:r>
          </w:p>
        </w:tc>
        <w:tc>
          <w:tcPr>
            <w:tcW w:w="244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640" w:type="dxa"/>
            <w:vAlign w:val="bottom"/>
            <w:tcBorders>
              <w:top w:val="single" w:sz="8" w:color="CCEEFF"/>
              <w:bottom w:val="single" w:sz="8" w:color="CCEEFF"/>
            </w:tcBorders>
            <w:gridSpan w:val="12"/>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Pr>
          <w:p>
            <w:pPr>
              <w:jc w:val="center"/>
              <w:ind w:right="32"/>
              <w:spacing w:after="0" w:line="189" w:lineRule="exact"/>
              <w:rPr>
                <w:sz w:val="20"/>
                <w:szCs w:val="20"/>
                <w:color w:val="auto"/>
              </w:rPr>
            </w:pPr>
            <w:r>
              <w:rPr>
                <w:rFonts w:ascii="Arial" w:cs="Arial" w:eastAsia="Arial" w:hAnsi="Arial"/>
                <w:sz w:val="18"/>
                <w:szCs w:val="18"/>
                <w:color w:val="auto"/>
                <w:w w:val="92"/>
              </w:rPr>
              <w:t>101.INS</w:t>
            </w:r>
          </w:p>
        </w:tc>
        <w:tc>
          <w:tcPr>
            <w:tcW w:w="5160" w:type="dxa"/>
            <w:vAlign w:val="bottom"/>
            <w:gridSpan w:val="21"/>
          </w:tcPr>
          <w:p>
            <w:pPr>
              <w:spacing w:after="0" w:line="189" w:lineRule="exact"/>
              <w:rPr>
                <w:sz w:val="20"/>
                <w:szCs w:val="20"/>
                <w:color w:val="auto"/>
              </w:rPr>
            </w:pPr>
            <w:r>
              <w:rPr>
                <w:rFonts w:ascii="Arial" w:cs="Arial" w:eastAsia="Arial" w:hAnsi="Arial"/>
                <w:sz w:val="18"/>
                <w:szCs w:val="18"/>
                <w:color w:val="auto"/>
                <w:w w:val="92"/>
              </w:rPr>
              <w:t>XBRL Instance Document - the instance document does not appear in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5160" w:type="dxa"/>
            <w:vAlign w:val="bottom"/>
            <w:gridSpan w:val="21"/>
          </w:tcPr>
          <w:p>
            <w:pPr>
              <w:spacing w:after="0" w:line="176" w:lineRule="exact"/>
              <w:rPr>
                <w:sz w:val="20"/>
                <w:szCs w:val="20"/>
                <w:color w:val="auto"/>
              </w:rPr>
            </w:pPr>
            <w:r>
              <w:rPr>
                <w:rFonts w:ascii="Arial" w:cs="Arial" w:eastAsia="Arial" w:hAnsi="Arial"/>
                <w:sz w:val="18"/>
                <w:szCs w:val="18"/>
                <w:color w:val="auto"/>
                <w:w w:val="93"/>
              </w:rPr>
              <w:t>the Interactive Data File because its XBRL tags are embedded within</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5160" w:type="dxa"/>
            <w:vAlign w:val="bottom"/>
            <w:gridSpan w:val="21"/>
          </w:tcPr>
          <w:p>
            <w:pPr>
              <w:spacing w:after="0"/>
              <w:rPr>
                <w:sz w:val="20"/>
                <w:szCs w:val="20"/>
                <w:color w:val="auto"/>
              </w:rPr>
            </w:pPr>
            <w:r>
              <w:rPr>
                <w:rFonts w:ascii="Arial" w:cs="Arial" w:eastAsia="Arial" w:hAnsi="Arial"/>
                <w:sz w:val="18"/>
                <w:szCs w:val="18"/>
                <w:color w:val="auto"/>
              </w:rPr>
              <w:t>the Inline XBRL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4"/>
              </w:rPr>
              <w:t>101.SCH*</w:t>
            </w:r>
          </w:p>
        </w:tc>
        <w:tc>
          <w:tcPr>
            <w:tcW w:w="51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8"/>
              </w:rPr>
              <w:t>101.CAL*</w:t>
            </w:r>
          </w:p>
        </w:tc>
        <w:tc>
          <w:tcPr>
            <w:tcW w:w="516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7"/>
              </w:rPr>
              <w:t>101.DEF*</w:t>
            </w:r>
          </w:p>
        </w:tc>
        <w:tc>
          <w:tcPr>
            <w:tcW w:w="51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jc w:val="center"/>
              <w:ind w:right="32"/>
              <w:spacing w:after="0"/>
              <w:rPr>
                <w:sz w:val="20"/>
                <w:szCs w:val="20"/>
                <w:color w:val="auto"/>
              </w:rPr>
            </w:pPr>
            <w:r>
              <w:rPr>
                <w:rFonts w:ascii="Arial" w:cs="Arial" w:eastAsia="Arial" w:hAnsi="Arial"/>
                <w:sz w:val="18"/>
                <w:szCs w:val="18"/>
                <w:color w:val="auto"/>
                <w:w w:val="99"/>
              </w:rPr>
              <w:t>101.LAB*</w:t>
            </w:r>
          </w:p>
        </w:tc>
        <w:tc>
          <w:tcPr>
            <w:tcW w:w="516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1"/>
              </w:rPr>
              <w:t>101.PRE*</w:t>
            </w:r>
          </w:p>
        </w:tc>
        <w:tc>
          <w:tcPr>
            <w:tcW w:w="51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1240"/>
        <w:spacing w:after="0" w:line="221" w:lineRule="auto"/>
        <w:rPr>
          <w:sz w:val="20"/>
          <w:szCs w:val="20"/>
          <w:color w:val="auto"/>
        </w:rPr>
      </w:pPr>
      <w:r>
        <w:rPr>
          <w:rFonts w:ascii="Arial" w:cs="Arial" w:eastAsia="Arial" w:hAnsi="Arial"/>
          <w:sz w:val="18"/>
          <w:szCs w:val="18"/>
          <w:color w:val="auto"/>
        </w:rPr>
        <w:t>Cover Page Interactive Data File - The cover page interactive data file</w:t>
      </w:r>
    </w:p>
    <w:p>
      <w:pPr>
        <w:ind w:left="1240"/>
        <w:spacing w:after="0" w:line="203" w:lineRule="auto"/>
        <w:rPr>
          <w:sz w:val="20"/>
          <w:szCs w:val="20"/>
          <w:color w:val="auto"/>
        </w:rPr>
      </w:pPr>
      <w:r>
        <w:rPr>
          <w:rFonts w:ascii="Arial" w:cs="Arial" w:eastAsia="Arial" w:hAnsi="Arial"/>
          <w:sz w:val="18"/>
          <w:szCs w:val="18"/>
          <w:color w:val="auto"/>
        </w:rPr>
        <w:t>does not appear in the Interactive Data File because its XBRL tags are</w:t>
      </w:r>
    </w:p>
    <w:p>
      <w:pPr>
        <w:ind w:right="6720" w:firstLine="426"/>
        <w:spacing w:after="0" w:line="368" w:lineRule="auto"/>
        <w:tabs>
          <w:tab w:leader="none" w:pos="12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8"/>
        <w:spacing w:after="0" w:line="262" w:lineRule="auto"/>
        <w:tabs>
          <w:tab w:leader="none" w:pos="2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Fluence Energy, Inc.</w:t>
      </w:r>
    </w:p>
    <w:p>
      <w:pPr>
        <w:spacing w:after="0" w:line="279" w:lineRule="exact"/>
        <w:rPr>
          <w:sz w:val="20"/>
          <w:szCs w:val="20"/>
          <w:color w:val="auto"/>
        </w:rPr>
      </w:pPr>
    </w:p>
    <w:p>
      <w:pPr>
        <w:ind w:left="20"/>
        <w:spacing w:after="0"/>
        <w:tabs>
          <w:tab w:leader="none" w:pos="5320" w:val="left"/>
          <w:tab w:leader="none" w:pos="59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33864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Julian Nebreda</w:t>
      </w:r>
    </w:p>
    <w:p>
      <w:pPr>
        <w:ind w:left="592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pacing w:after="0" w:line="304" w:lineRule="exact"/>
        <w:rPr>
          <w:sz w:val="20"/>
          <w:szCs w:val="20"/>
          <w:color w:val="auto"/>
        </w:rPr>
      </w:pPr>
    </w:p>
    <w:p>
      <w:pPr>
        <w:ind w:left="20"/>
        <w:spacing w:after="0"/>
        <w:tabs>
          <w:tab w:leader="none" w:pos="5320" w:val="left"/>
          <w:tab w:leader="none" w:pos="59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33864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Manavendra Sial</w:t>
      </w:r>
    </w:p>
    <w:p>
      <w:pPr>
        <w:ind w:left="5920"/>
        <w:spacing w:after="0" w:line="215" w:lineRule="auto"/>
        <w:rPr>
          <w:sz w:val="20"/>
          <w:szCs w:val="20"/>
          <w:color w:val="auto"/>
        </w:rPr>
      </w:pPr>
      <w:r>
        <w:rPr>
          <w:rFonts w:ascii="Arial" w:cs="Arial" w:eastAsia="Arial" w:hAnsi="Arial"/>
          <w:sz w:val="17"/>
          <w:szCs w:val="17"/>
          <w:i w:val="1"/>
          <w:iCs w:val="1"/>
          <w:color w:val="auto"/>
        </w:rPr>
        <w:t>Chief Financial Officer and Senior Vice President (Principal Financial</w:t>
      </w:r>
    </w:p>
    <w:p>
      <w:pPr>
        <w:ind w:left="59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REVOLVING CREDIT AGREEMENT</w:t>
      </w:r>
    </w:p>
    <w:p>
      <w:pPr>
        <w:spacing w:after="0" w:line="189" w:lineRule="exact"/>
        <w:rPr>
          <w:sz w:val="20"/>
          <w:szCs w:val="20"/>
          <w:color w:val="auto"/>
        </w:rPr>
      </w:pPr>
    </w:p>
    <w:p>
      <w:pPr>
        <w:ind w:firstLine="648"/>
        <w:spacing w:after="0" w:line="227" w:lineRule="auto"/>
        <w:rPr>
          <w:sz w:val="20"/>
          <w:szCs w:val="20"/>
          <w:color w:val="auto"/>
        </w:rPr>
      </w:pPr>
      <w:r>
        <w:rPr>
          <w:rFonts w:ascii="Arial" w:cs="Arial" w:eastAsia="Arial" w:hAnsi="Arial"/>
          <w:sz w:val="19"/>
          <w:szCs w:val="19"/>
          <w:b w:val="1"/>
          <w:bCs w:val="1"/>
          <w:color w:val="auto"/>
        </w:rPr>
        <w:t xml:space="preserve">THIS AMENDMENT NO. 2 TO REVOLVING CREDIT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May 19, 2023,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entered into by and among </w:t>
      </w:r>
      <w:r>
        <w:rPr>
          <w:rFonts w:ascii="Arial" w:cs="Arial" w:eastAsia="Arial" w:hAnsi="Arial"/>
          <w:sz w:val="19"/>
          <w:szCs w:val="19"/>
          <w:b w:val="1"/>
          <w:bCs w:val="1"/>
          <w:color w:val="auto"/>
        </w:rPr>
        <w:t>FLUENCE ENERGY, INC.</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b w:val="1"/>
          <w:bCs w:val="1"/>
          <w:color w:val="auto"/>
        </w:rPr>
        <w:t>FLUENCE ENERGY, LLC</w:t>
      </w:r>
      <w:r>
        <w:rPr>
          <w:rFonts w:ascii="Arial" w:cs="Arial" w:eastAsia="Arial" w:hAnsi="Arial"/>
          <w:sz w:val="19"/>
          <w:szCs w:val="19"/>
          <w:color w:val="auto"/>
        </w:rPr>
        <w:t>, a Delaware</w:t>
      </w:r>
    </w:p>
    <w:p>
      <w:pPr>
        <w:spacing w:after="0" w:line="235" w:lineRule="auto"/>
        <w:rPr>
          <w:sz w:val="20"/>
          <w:szCs w:val="20"/>
          <w:color w:val="auto"/>
        </w:rPr>
      </w:pPr>
      <w:r>
        <w:rPr>
          <w:rFonts w:ascii="Arial" w:cs="Arial" w:eastAsia="Arial" w:hAnsi="Arial"/>
          <w:sz w:val="18"/>
          <w:szCs w:val="18"/>
          <w:color w:val="auto"/>
        </w:rPr>
        <w:t>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Guarantors party hereto, each Lender party hereto and JPMORGAN CHASE BANK,</w:t>
      </w:r>
    </w:p>
    <w:p>
      <w:pPr>
        <w:spacing w:after="0" w:line="255" w:lineRule="auto"/>
        <w:rPr>
          <w:sz w:val="20"/>
          <w:szCs w:val="20"/>
          <w:color w:val="auto"/>
        </w:rPr>
      </w:pPr>
      <w:r>
        <w:rPr>
          <w:rFonts w:ascii="Arial" w:cs="Arial" w:eastAsia="Arial" w:hAnsi="Arial"/>
          <w:sz w:val="16"/>
          <w:szCs w:val="16"/>
          <w:color w:val="auto"/>
        </w:rPr>
        <w:t>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in connection with that certain Revolving Credit Agreement, dated as of November 1, 2021 (as amended by that certain Amendment No. 1 to Revolving Credit Agreement, dated November 15, 2022, and</w:t>
      </w:r>
    </w:p>
    <w:p>
      <w:pPr>
        <w:spacing w:after="0" w:line="235" w:lineRule="auto"/>
        <w:rPr>
          <w:sz w:val="20"/>
          <w:szCs w:val="20"/>
          <w:color w:val="auto"/>
        </w:rPr>
      </w:pPr>
      <w:r>
        <w:rPr>
          <w:rFonts w:ascii="Arial" w:cs="Arial" w:eastAsia="Arial" w:hAnsi="Arial"/>
          <w:sz w:val="18"/>
          <w:szCs w:val="18"/>
          <w:color w:val="auto"/>
        </w:rPr>
        <w:t>as further amended, modified, supplemented, restated or amended and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entered into by</w:t>
      </w:r>
    </w:p>
    <w:p>
      <w:pPr>
        <w:spacing w:after="0" w:line="220" w:lineRule="auto"/>
        <w:rPr>
          <w:sz w:val="20"/>
          <w:szCs w:val="20"/>
          <w:color w:val="auto"/>
        </w:rPr>
      </w:pPr>
      <w:r>
        <w:rPr>
          <w:rFonts w:ascii="Arial" w:cs="Arial" w:eastAsia="Arial" w:hAnsi="Arial"/>
          <w:sz w:val="20"/>
          <w:szCs w:val="20"/>
          <w:color w:val="auto"/>
        </w:rPr>
        <w:t>and among the Borrower, the Parent, the Guarantors from time to time party thereto, the Administrative Agent and the Lenders from time to time party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8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loans, commitments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 incur or are permitted to incur interest, fees or other amounts based on the London Interbank Offered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Credit Agreement;</w:t>
      </w:r>
    </w:p>
    <w:p>
      <w:pPr>
        <w:spacing w:after="0" w:line="167" w:lineRule="exact"/>
        <w:rPr>
          <w:sz w:val="20"/>
          <w:szCs w:val="20"/>
          <w:color w:val="auto"/>
        </w:rPr>
      </w:pPr>
    </w:p>
    <w:p>
      <w:pPr>
        <w:ind w:firstLine="648"/>
        <w:spacing w:after="0" w:line="22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Administrative Agent, the Borrower and the Lenders party hereto comprising all Lenders have determined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Credit Agreement that LIBOR for the Affected Currency should be replaced with the applicable Benchmark</w:t>
      </w:r>
    </w:p>
    <w:p>
      <w:pPr>
        <w:spacing w:after="0" w:line="227" w:lineRule="auto"/>
        <w:rPr>
          <w:sz w:val="20"/>
          <w:szCs w:val="20"/>
          <w:color w:val="auto"/>
        </w:rPr>
      </w:pPr>
      <w:r>
        <w:rPr>
          <w:rFonts w:ascii="Arial" w:cs="Arial" w:eastAsia="Arial" w:hAnsi="Arial"/>
          <w:sz w:val="20"/>
          <w:szCs w:val="20"/>
          <w:color w:val="auto"/>
        </w:rPr>
        <w:t>Replacement for all purposes under the Credit Agreement and any Loan Document and the parties to this Agreement hereby agree that such changes shall become effective on the Amendment Effective Date (as defined below); and</w:t>
      </w:r>
    </w:p>
    <w:p>
      <w:pPr>
        <w:spacing w:after="0" w:line="150"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Section 2.11(d) of the Credit Agreement, the Administrative Agent has determined that certain Benchmark</w:t>
      </w:r>
      <w:r>
        <w:rPr>
          <w:rFonts w:ascii="Arial" w:cs="Arial" w:eastAsia="Arial" w:hAnsi="Arial"/>
          <w:sz w:val="20"/>
          <w:szCs w:val="20"/>
          <w:b w:val="1"/>
          <w:bCs w:val="1"/>
          <w:color w:val="auto"/>
        </w:rPr>
        <w:t xml:space="preserve"> </w:t>
      </w:r>
      <w:r>
        <w:rPr>
          <w:rFonts w:ascii="Arial" w:cs="Arial" w:eastAsia="Arial" w:hAnsi="Arial"/>
          <w:sz w:val="20"/>
          <w:szCs w:val="20"/>
          <w:color w:val="auto"/>
        </w:rPr>
        <w:t>Replacement Conforming Changes are necessary or advisable.</w:t>
      </w:r>
    </w:p>
    <w:p>
      <w:pPr>
        <w:spacing w:after="0" w:line="149"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execution hereof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sufficiency of which are hereby acknowledged, the parties hereto hereby agree as follows:</w:t>
      </w:r>
    </w:p>
    <w:p>
      <w:pPr>
        <w:spacing w:after="0" w:line="169" w:lineRule="exact"/>
        <w:rPr>
          <w:sz w:val="20"/>
          <w:szCs w:val="20"/>
          <w:color w:val="auto"/>
        </w:rPr>
      </w:pPr>
    </w:p>
    <w:p>
      <w:pPr>
        <w:ind w:firstLine="656"/>
        <w:spacing w:after="0" w:line="229" w:lineRule="auto"/>
        <w:tabs>
          <w:tab w:leader="none" w:pos="1078"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 as amended by this Agreement.</w:t>
      </w:r>
    </w:p>
    <w:p>
      <w:pPr>
        <w:spacing w:after="0" w:line="168" w:lineRule="exact"/>
        <w:rPr>
          <w:rFonts w:ascii="Arial" w:cs="Arial" w:eastAsia="Arial" w:hAnsi="Arial"/>
          <w:sz w:val="20"/>
          <w:szCs w:val="20"/>
          <w:color w:val="auto"/>
        </w:rPr>
      </w:pPr>
    </w:p>
    <w:p>
      <w:pPr>
        <w:jc w:val="both"/>
        <w:ind w:firstLine="656"/>
        <w:spacing w:after="0" w:line="223" w:lineRule="auto"/>
        <w:tabs>
          <w:tab w:leader="none" w:pos="103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70C0"/>
        </w:rPr>
        <w:t>double-underlined text</w:t>
      </w:r>
      <w:r>
        <w:rPr>
          <w:rFonts w:ascii="Arial" w:cs="Arial" w:eastAsia="Arial" w:hAnsi="Arial"/>
          <w:sz w:val="20"/>
          <w:szCs w:val="20"/>
          <w:color w:val="000000"/>
        </w:rPr>
        <w:t>) as set forth in the pages attached as Exhibit A hereto.</w:t>
      </w:r>
    </w:p>
    <w:p>
      <w:pPr>
        <w:spacing w:after="0" w:line="168" w:lineRule="exact"/>
        <w:rPr>
          <w:rFonts w:ascii="Arial" w:cs="Arial" w:eastAsia="Arial" w:hAnsi="Arial"/>
          <w:sz w:val="20"/>
          <w:szCs w:val="20"/>
          <w:color w:val="auto"/>
        </w:rPr>
      </w:pPr>
    </w:p>
    <w:p>
      <w:pPr>
        <w:ind w:firstLine="656"/>
        <w:spacing w:after="0" w:line="236" w:lineRule="auto"/>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Amendment will become effective upon the date on which the following conditions precedent are first satisfied (the date of the satisfaction of all such conditions,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60" w:firstLine="644"/>
        <w:spacing w:after="0" w:line="236" w:lineRule="auto"/>
        <w:tabs>
          <w:tab w:leader="none" w:pos="1831"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each of Parent, the Borrower, each other Loan Party and each Lender an executed counterpart of this Agreement.</w:t>
      </w:r>
    </w:p>
    <w:p>
      <w:pPr>
        <w:spacing w:after="0" w:line="168" w:lineRule="exact"/>
        <w:rPr>
          <w:rFonts w:ascii="Arial" w:cs="Arial" w:eastAsia="Arial" w:hAnsi="Arial"/>
          <w:sz w:val="20"/>
          <w:szCs w:val="20"/>
          <w:color w:val="auto"/>
        </w:rPr>
      </w:pPr>
    </w:p>
    <w:p>
      <w:pPr>
        <w:jc w:val="both"/>
        <w:ind w:left="660" w:firstLine="644"/>
        <w:spacing w:after="0" w:line="214" w:lineRule="auto"/>
        <w:tabs>
          <w:tab w:leader="none" w:pos="1793"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Each of the representations and warranties of the Loan Parties contained in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of the Credit Agreement or any other Loan Document shall be true and correct, in all material respects (unless already qualified by materiality or “Material Adverse Effect” in which case, they shall be true and correct in all respects), on and as of the date hereof, except to the extent that such representations and warranties specifically refer to an earlier date, in which case they shall be true and correct, in all material respects (unless already qualified by materiality or “Material Adverse Effect”, in which case, they shall be true and correct in all respects), as of such earlier date.</w:t>
      </w:r>
    </w:p>
    <w:p>
      <w:pPr>
        <w:sectPr>
          <w:pgSz w:w="11900" w:h="16838" w:orient="portrait"/>
          <w:cols w:equalWidth="0" w:num="1">
            <w:col w:w="11240"/>
          </w:cols>
          <w:pgMar w:left="320" w:top="104" w:right="339" w:bottom="1440" w:gutter="0" w:footer="0" w:header="0"/>
        </w:sectPr>
      </w:pPr>
    </w:p>
    <w:bookmarkStart w:id="58" w:name="page59"/>
    <w:bookmarkEnd w:id="58"/>
    <w:p>
      <w:pPr>
        <w:jc w:val="both"/>
        <w:ind w:left="660" w:firstLine="644"/>
        <w:spacing w:after="0" w:line="220" w:lineRule="auto"/>
        <w:tabs>
          <w:tab w:leader="none" w:pos="1732" w:val="left"/>
        </w:tabs>
        <w:numPr>
          <w:ilvl w:val="1"/>
          <w:numId w:val="18"/>
        </w:numPr>
        <w:rPr>
          <w:rFonts w:ascii="Arial" w:cs="Arial" w:eastAsia="Arial" w:hAnsi="Arial"/>
          <w:sz w:val="20"/>
          <w:szCs w:val="20"/>
          <w:color w:val="auto"/>
        </w:rPr>
      </w:pPr>
      <w:r>
        <w:rPr>
          <w:rFonts w:ascii="Arial" w:cs="Arial" w:eastAsia="Arial" w:hAnsi="Arial"/>
          <w:sz w:val="20"/>
          <w:szCs w:val="20"/>
          <w:color w:val="auto"/>
        </w:rPr>
        <w:t>The Borrower shall have paid to the Administrative Agent all fees required to be paid pursuant to the Credit Agreement, and all other amounts which are payable pursuant to Section 10.03(a) of the Credit Agreement on or prior to the Amendment Effective Date (in the case of expenses, to the extent invoiced in reasonable detail at least one (1) Business Day prior to the Amendment Effective Date).</w:t>
      </w:r>
    </w:p>
    <w:p>
      <w:pPr>
        <w:spacing w:after="0" w:line="169" w:lineRule="exact"/>
        <w:rPr>
          <w:rFonts w:ascii="Arial" w:cs="Arial" w:eastAsia="Arial" w:hAnsi="Arial"/>
          <w:sz w:val="20"/>
          <w:szCs w:val="20"/>
          <w:color w:val="auto"/>
        </w:rPr>
      </w:pPr>
    </w:p>
    <w:p>
      <w:pPr>
        <w:ind w:left="660" w:firstLine="644"/>
        <w:spacing w:after="0" w:line="229" w:lineRule="auto"/>
        <w:tabs>
          <w:tab w:leader="none" w:pos="1865" w:val="left"/>
        </w:tabs>
        <w:numPr>
          <w:ilvl w:val="1"/>
          <w:numId w:val="18"/>
        </w:numPr>
        <w:rPr>
          <w:rFonts w:ascii="Arial" w:cs="Arial" w:eastAsia="Arial" w:hAnsi="Arial"/>
          <w:sz w:val="20"/>
          <w:szCs w:val="20"/>
          <w:color w:val="auto"/>
        </w:rPr>
      </w:pPr>
      <w:r>
        <w:rPr>
          <w:rFonts w:ascii="Arial" w:cs="Arial" w:eastAsia="Arial" w:hAnsi="Arial"/>
          <w:sz w:val="20"/>
          <w:szCs w:val="20"/>
          <w:color w:val="auto"/>
        </w:rPr>
        <w:t>At the time of and immediately after effectiveness of this Agreement, no Default or Event of Default shall have occurred and be continuing.</w:t>
      </w:r>
    </w:p>
    <w:p>
      <w:pPr>
        <w:spacing w:after="0" w:line="168" w:lineRule="exact"/>
        <w:rPr>
          <w:rFonts w:ascii="Arial" w:cs="Arial" w:eastAsia="Arial" w:hAnsi="Arial"/>
          <w:sz w:val="20"/>
          <w:szCs w:val="20"/>
          <w:color w:val="auto"/>
        </w:rPr>
      </w:pPr>
    </w:p>
    <w:p>
      <w:pPr>
        <w:ind w:left="1000" w:hanging="344"/>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Loan Party represents and warrants to the Administrative Agent that, as of the date hereof:</w:t>
      </w:r>
    </w:p>
    <w:p>
      <w:pPr>
        <w:spacing w:after="0" w:line="234" w:lineRule="exact"/>
        <w:rPr>
          <w:rFonts w:ascii="Arial" w:cs="Arial" w:eastAsia="Arial" w:hAnsi="Arial"/>
          <w:sz w:val="16"/>
          <w:szCs w:val="16"/>
          <w:color w:val="auto"/>
        </w:rPr>
      </w:pPr>
    </w:p>
    <w:p>
      <w:pPr>
        <w:jc w:val="both"/>
        <w:ind w:firstLine="1304"/>
        <w:spacing w:after="0" w:line="215" w:lineRule="auto"/>
        <w:tabs>
          <w:tab w:leader="none" w:pos="1809"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this Agreement has been duly authorized by all necessary corporate or other organizational and, if required, equity holder action. Each of the Borrower and the Guarantors has duly executed and delivered this Agreement, and this Agreement constitutes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171" w:lineRule="exact"/>
        <w:rPr>
          <w:rFonts w:ascii="Arial" w:cs="Arial" w:eastAsia="Arial" w:hAnsi="Arial"/>
          <w:sz w:val="20"/>
          <w:szCs w:val="20"/>
          <w:color w:val="auto"/>
        </w:rPr>
      </w:pPr>
    </w:p>
    <w:p>
      <w:pPr>
        <w:jc w:val="both"/>
        <w:ind w:firstLine="1304"/>
        <w:spacing w:after="0" w:line="235" w:lineRule="auto"/>
        <w:tabs>
          <w:tab w:leader="none" w:pos="18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this Agreement (a) does not require any consent or approval of, registration or filing with, or any other action by, any Governmental Authority, except such as have been obtained or made and are in full force and effect, (b) will not violate any applicable law or regulation or any order of any Governmental Authority, (c) will not violate any charter, by-laws or other organizational document of the Parent or any of its Subsidiaries, (d)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Section 6.02 of the Credit Agreement).</w:t>
      </w:r>
    </w:p>
    <w:p>
      <w:pPr>
        <w:spacing w:after="0" w:line="201" w:lineRule="exact"/>
        <w:rPr>
          <w:rFonts w:ascii="Arial" w:cs="Arial" w:eastAsia="Arial" w:hAnsi="Arial"/>
          <w:sz w:val="18"/>
          <w:szCs w:val="18"/>
          <w:color w:val="auto"/>
        </w:rPr>
      </w:pPr>
    </w:p>
    <w:p>
      <w:pPr>
        <w:ind w:firstLine="1304"/>
        <w:spacing w:after="0" w:line="236" w:lineRule="auto"/>
        <w:tabs>
          <w:tab w:leader="none" w:pos="1843" w:val="left"/>
        </w:tabs>
        <w:numPr>
          <w:ilvl w:val="1"/>
          <w:numId w:val="19"/>
        </w:numPr>
        <w:rPr>
          <w:rFonts w:ascii="Arial" w:cs="Arial" w:eastAsia="Arial" w:hAnsi="Arial"/>
          <w:sz w:val="20"/>
          <w:szCs w:val="20"/>
          <w:color w:val="auto"/>
        </w:rPr>
      </w:pPr>
      <w:r>
        <w:rPr>
          <w:rFonts w:ascii="Arial" w:cs="Arial" w:eastAsia="Arial" w:hAnsi="Arial"/>
          <w:sz w:val="20"/>
          <w:szCs w:val="20"/>
          <w:color w:val="auto"/>
        </w:rPr>
        <w:t>At the time of and immediately after effectiveness of this Agreement, no Default or Event of Default shall have occurred and be continuing.</w:t>
      </w:r>
    </w:p>
    <w:p>
      <w:pPr>
        <w:spacing w:after="0" w:line="182" w:lineRule="exact"/>
        <w:rPr>
          <w:rFonts w:ascii="Arial" w:cs="Arial" w:eastAsia="Arial" w:hAnsi="Arial"/>
          <w:sz w:val="20"/>
          <w:szCs w:val="20"/>
          <w:color w:val="auto"/>
        </w:rPr>
      </w:pP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Reaffirmation; Reference to and Effect on the Loan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30" w:lineRule="auto"/>
        <w:tabs>
          <w:tab w:leader="none" w:pos="1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From and after the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Agreement. The parties hereto agree that from the Amendment Effective Date, this Agreement and the Credit Agreement shall be construed as a single agreement and this Amendment is a Loan Document. Except as expressly set forth herein, this Amendment shall not modify, limit, impair, constitute a waiver of or otherwise affect the rights and remedies of the Lenders or the Administrative Agent under the Credit Agreement or any other Loan Document, and shall not (and shall not be deemed to) alter, modify, amend or in any way affect any of the terms, conditions, obligations, covenants or agreements of the Borrower and each other Loan Party contained in the Credit Agreement or any other provision of the Credit Agreement or of any other Loan Document, all of which are ratified and affirmed by the Borrower and each Loan Party, as applicable, in all respects and shall continue in full force and effect. This Amendment shall not constitute a novation of the Credit Agreement or any of the Loan Documents.</w:t>
      </w:r>
    </w:p>
    <w:p>
      <w:pPr>
        <w:spacing w:after="0" w:line="7" w:lineRule="exact"/>
        <w:rPr>
          <w:rFonts w:ascii="Arial" w:cs="Arial" w:eastAsia="Arial" w:hAnsi="Arial"/>
          <w:sz w:val="18"/>
          <w:szCs w:val="18"/>
          <w:color w:val="auto"/>
        </w:rPr>
      </w:pPr>
    </w:p>
    <w:p>
      <w:pPr>
        <w:jc w:val="both"/>
        <w:ind w:left="660" w:firstLine="644"/>
        <w:spacing w:after="0" w:line="215" w:lineRule="auto"/>
        <w:tabs>
          <w:tab w:leader="none" w:pos="1803" w:val="left"/>
        </w:tabs>
        <w:numPr>
          <w:ilvl w:val="1"/>
          <w:numId w:val="19"/>
        </w:numPr>
        <w:rPr>
          <w:rFonts w:ascii="Arial" w:cs="Arial" w:eastAsia="Arial" w:hAnsi="Arial"/>
          <w:sz w:val="20"/>
          <w:szCs w:val="20"/>
          <w:color w:val="auto"/>
        </w:rPr>
      </w:pPr>
      <w:r>
        <w:rPr>
          <w:rFonts w:ascii="Arial" w:cs="Arial" w:eastAsia="Arial" w:hAnsi="Arial"/>
          <w:sz w:val="20"/>
          <w:szCs w:val="20"/>
          <w:color w:val="auto"/>
        </w:rPr>
        <w:t>By executing and delivering a copy of this Agreement, the Borrower and each other Loan Party hereby reaffirms its prior grant and the validity of the Liens granted by it pursuant to the Security Documents, affirms, acknowledges and confirms all of its guaranty and other obligations and liabilities under the Credit Agreement, as amended hereby, and each other Loan Document to which it is a party, all in accordance with respective the terms thereof, and acknowledges and agrees that such obligations and liabilities continue in full force and effect 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5" w:right="339" w:bottom="1440" w:gutter="0" w:footer="0" w:header="0"/>
        </w:sectPr>
      </w:pPr>
    </w:p>
    <w:bookmarkStart w:id="59" w:name="page60"/>
    <w:bookmarkEnd w:id="59"/>
    <w:p>
      <w:pPr>
        <w:ind w:left="660"/>
        <w:spacing w:after="0" w:line="212" w:lineRule="auto"/>
        <w:rPr>
          <w:sz w:val="20"/>
          <w:szCs w:val="20"/>
          <w:color w:val="auto"/>
        </w:rPr>
      </w:pPr>
      <w:r>
        <w:rPr>
          <w:rFonts w:ascii="Arial" w:cs="Arial" w:eastAsia="Arial" w:hAnsi="Arial"/>
          <w:sz w:val="20"/>
          <w:szCs w:val="20"/>
          <w:color w:val="auto"/>
        </w:rPr>
        <w:t>respect of, and to secure, the Obligations under the Credit Agreement and the other Loan Documents, in each case after giving effect to this Amendment.</w:t>
      </w:r>
    </w:p>
    <w:p>
      <w:pPr>
        <w:spacing w:after="0" w:line="1" w:lineRule="exact"/>
        <w:rPr>
          <w:sz w:val="20"/>
          <w:szCs w:val="20"/>
          <w:color w:val="auto"/>
        </w:rPr>
      </w:pPr>
    </w:p>
    <w:p>
      <w:pPr>
        <w:jc w:val="both"/>
        <w:ind w:left="660" w:firstLine="644"/>
        <w:spacing w:after="0" w:line="206" w:lineRule="auto"/>
        <w:tabs>
          <w:tab w:leader="none" w:pos="1741"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 w:lineRule="exact"/>
        <w:rPr>
          <w:rFonts w:ascii="Arial" w:cs="Arial" w:eastAsia="Arial" w:hAnsi="Arial"/>
          <w:sz w:val="20"/>
          <w:szCs w:val="20"/>
          <w:color w:val="auto"/>
        </w:rPr>
      </w:pPr>
    </w:p>
    <w:p>
      <w:pPr>
        <w:ind w:left="660" w:firstLine="644"/>
        <w:spacing w:after="0" w:line="211" w:lineRule="auto"/>
        <w:tabs>
          <w:tab w:leader="none" w:pos="1796" w:val="left"/>
        </w:tabs>
        <w:numPr>
          <w:ilvl w:val="1"/>
          <w:numId w:val="20"/>
        </w:numPr>
        <w:rPr>
          <w:rFonts w:ascii="Arial" w:cs="Arial" w:eastAsia="Arial" w:hAnsi="Arial"/>
          <w:sz w:val="20"/>
          <w:szCs w:val="20"/>
          <w:color w:val="auto"/>
        </w:rPr>
      </w:pPr>
      <w:r>
        <w:rPr>
          <w:rFonts w:ascii="Arial" w:cs="Arial" w:eastAsia="Arial" w:hAnsi="Arial"/>
          <w:sz w:val="20"/>
          <w:szCs w:val="20"/>
          <w:color w:val="auto"/>
        </w:rPr>
        <w:t>In the event of any conflict between the terms of this Agreement and the terms of the Credit Agreement or the other Loan Documents, the terms hereof shall control.</w:t>
      </w:r>
    </w:p>
    <w:p>
      <w:pPr>
        <w:ind w:left="1000" w:hanging="344"/>
        <w:spacing w:after="0"/>
        <w:tabs>
          <w:tab w:leader="none" w:pos="100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Consent to Service of Process; Waiver of Jury Trial, Etc</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firstLine="1304"/>
        <w:spacing w:after="0" w:line="285" w:lineRule="auto"/>
        <w:tabs>
          <w:tab w:leader="none" w:pos="18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 without regard to conflict of laws principles thereof to the extent such principles would cause the application of the law of another state.</w:t>
      </w:r>
    </w:p>
    <w:p>
      <w:pPr>
        <w:spacing w:after="0" w:line="156" w:lineRule="exact"/>
        <w:rPr>
          <w:rFonts w:ascii="Arial" w:cs="Arial" w:eastAsia="Arial" w:hAnsi="Arial"/>
          <w:sz w:val="18"/>
          <w:szCs w:val="18"/>
          <w:color w:val="auto"/>
        </w:rPr>
      </w:pPr>
    </w:p>
    <w:p>
      <w:pPr>
        <w:jc w:val="both"/>
        <w:ind w:firstLine="1304"/>
        <w:spacing w:after="0" w:line="223" w:lineRule="auto"/>
        <w:tabs>
          <w:tab w:leader="none" w:pos="1767" w:val="left"/>
        </w:tabs>
        <w:numPr>
          <w:ilvl w:val="1"/>
          <w:numId w:val="21"/>
        </w:numPr>
        <w:rPr>
          <w:rFonts w:ascii="Arial" w:cs="Arial" w:eastAsia="Arial" w:hAnsi="Arial"/>
          <w:sz w:val="20"/>
          <w:szCs w:val="20"/>
          <w:color w:val="auto"/>
        </w:rPr>
      </w:pPr>
      <w:r>
        <w:rPr>
          <w:rFonts w:ascii="Arial" w:cs="Arial" w:eastAsia="Arial" w:hAnsi="Arial"/>
          <w:sz w:val="20"/>
          <w:szCs w:val="20"/>
          <w:color w:val="auto"/>
        </w:rPr>
        <w:t xml:space="preserve">SECTION 10.09 (GOVERNING LAW; JURISDICTION; CONSENT TO SERVICE OF PROCESS) AND SECTION 10.10 (WAIVER OF JURY TRIAL) OF THE CREDIT AGREEMENT ARE HEREBY INCORPORATED BY REFERENCE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MUTANDIS</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jc w:val="both"/>
        <w:ind w:firstLine="656"/>
        <w:spacing w:after="0" w:line="212" w:lineRule="auto"/>
        <w:tabs>
          <w:tab w:leader="none" w:pos="1077"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Amendments; Headings; Severability</w:t>
      </w:r>
      <w:r>
        <w:rPr>
          <w:rFonts w:ascii="Arial" w:cs="Arial" w:eastAsia="Arial" w:hAnsi="Arial"/>
          <w:sz w:val="20"/>
          <w:szCs w:val="20"/>
          <w:color w:val="auto"/>
        </w:rPr>
        <w:t>. This Agreement may not be amended nor may any provision hereof be waived except pursuant to a writing signed by Parent, the Borrower, the other Loan Parties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3" w:lineRule="exact"/>
        <w:rPr>
          <w:rFonts w:ascii="Arial" w:cs="Arial" w:eastAsia="Arial" w:hAnsi="Arial"/>
          <w:sz w:val="20"/>
          <w:szCs w:val="20"/>
          <w:color w:val="auto"/>
        </w:rPr>
      </w:pPr>
    </w:p>
    <w:p>
      <w:pPr>
        <w:jc w:val="both"/>
        <w:ind w:firstLine="656"/>
        <w:spacing w:after="0" w:line="238" w:lineRule="auto"/>
        <w:tabs>
          <w:tab w:leader="none" w:pos="110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5"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FLUENCE ENERGY, LLC</w:t>
      </w:r>
    </w:p>
    <w:p>
      <w:pPr>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Manavendra Sial</w:t>
      </w:r>
    </w:p>
    <w:p>
      <w:pPr>
        <w:ind w:left="660"/>
        <w:spacing w:after="0" w:line="211" w:lineRule="auto"/>
        <w:rPr>
          <w:sz w:val="20"/>
          <w:szCs w:val="20"/>
          <w:color w:val="auto"/>
        </w:rPr>
      </w:pPr>
      <w:r>
        <w:rPr>
          <w:rFonts w:ascii="Arial" w:cs="Arial" w:eastAsia="Arial" w:hAnsi="Arial"/>
          <w:sz w:val="20"/>
          <w:szCs w:val="20"/>
          <w:color w:val="auto"/>
        </w:rPr>
        <w:t>Name: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6332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Senior Vice President and Chief Financial Officer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Francis A. Fuselier</w:t>
      </w:r>
    </w:p>
    <w:p>
      <w:pPr>
        <w:ind w:left="660"/>
        <w:spacing w:after="0" w:line="211" w:lineRule="auto"/>
        <w:rPr>
          <w:sz w:val="20"/>
          <w:szCs w:val="20"/>
          <w:color w:val="auto"/>
        </w:rPr>
      </w:pPr>
      <w:r>
        <w:rPr>
          <w:rFonts w:ascii="Arial" w:cs="Arial" w:eastAsia="Arial" w:hAnsi="Arial"/>
          <w:sz w:val="20"/>
          <w:szCs w:val="20"/>
          <w:color w:val="auto"/>
        </w:rPr>
        <w:t>Name: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7310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73101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1240"/>
          </w:cols>
          <w:pgMar w:left="320" w:top="1405"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6332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Manavendra Sial</w:t>
      </w:r>
    </w:p>
    <w:p>
      <w:pPr>
        <w:ind w:left="660"/>
        <w:spacing w:after="0"/>
        <w:rPr>
          <w:sz w:val="20"/>
          <w:szCs w:val="20"/>
          <w:color w:val="auto"/>
        </w:rPr>
      </w:pPr>
      <w:r>
        <w:rPr>
          <w:rFonts w:ascii="Arial" w:cs="Arial" w:eastAsia="Arial" w:hAnsi="Arial"/>
          <w:sz w:val="20"/>
          <w:szCs w:val="20"/>
          <w:color w:val="auto"/>
        </w:rPr>
        <w:t>Title: Senior Vice President and Chief Financial Officer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7310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Francis A. Fuselier</w:t>
      </w:r>
    </w:p>
    <w:p>
      <w:pPr>
        <w:ind w:left="660"/>
        <w:spacing w:after="0"/>
        <w:rPr>
          <w:sz w:val="20"/>
          <w:szCs w:val="20"/>
          <w:color w:val="auto"/>
        </w:rPr>
      </w:pPr>
      <w:r>
        <w:rPr>
          <w:rFonts w:ascii="Arial" w:cs="Arial" w:eastAsia="Arial" w:hAnsi="Arial"/>
          <w:sz w:val="20"/>
          <w:szCs w:val="20"/>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394" w:right="1440"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FLUENCE ENERGY, GMBH</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Markus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521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Markus Meyer</w:t>
      </w:r>
    </w:p>
    <w:p>
      <w:pPr>
        <w:ind w:left="660"/>
        <w:spacing w:after="0"/>
        <w:rPr>
          <w:sz w:val="20"/>
          <w:szCs w:val="20"/>
          <w:color w:val="auto"/>
        </w:rPr>
      </w:pPr>
      <w:r>
        <w:rPr>
          <w:rFonts w:ascii="Arial" w:cs="Arial" w:eastAsia="Arial" w:hAnsi="Arial"/>
          <w:sz w:val="20"/>
          <w:szCs w:val="20"/>
          <w:color w:val="auto"/>
        </w:rPr>
        <w:t>Title: Managing Director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Gilleβen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655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655445"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Michael Gilleβen</w:t>
      </w:r>
    </w:p>
    <w:p>
      <w:pPr>
        <w:ind w:left="6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394" w:right="1440"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Executed as 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608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Fluence Energy Pty Ltd</w:t>
      </w:r>
      <w:r>
        <w:rPr>
          <w:rFonts w:ascii="Arial" w:cs="Arial" w:eastAsia="Arial" w:hAnsi="Arial"/>
          <w:sz w:val="18"/>
          <w:szCs w:val="18"/>
          <w:color w:val="auto"/>
        </w:rPr>
        <w:t xml:space="preserve"> in accordance with section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127 of the </w:t>
      </w:r>
      <w:r>
        <w:rPr>
          <w:rFonts w:ascii="Arial" w:cs="Arial" w:eastAsia="Arial" w:hAnsi="Arial"/>
          <w:sz w:val="20"/>
          <w:szCs w:val="20"/>
          <w:i w:val="1"/>
          <w:iCs w:val="1"/>
          <w:color w:val="auto"/>
        </w:rPr>
        <w:t>Corporations Act 2001</w:t>
      </w:r>
      <w:r>
        <w:rPr>
          <w:rFonts w:ascii="Arial" w:cs="Arial" w:eastAsia="Arial" w:hAnsi="Arial"/>
          <w:sz w:val="20"/>
          <w:szCs w:val="20"/>
          <w:color w:val="auto"/>
        </w:rPr>
        <w:t xml:space="preserve"> (Cth)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69608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Norm Maamary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3686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368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Norm Maamary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3686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director (print)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/s/ Peter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33693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36931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Signature of director/secretary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33693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369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Peter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33693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6931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director/secretary (print)</w:t>
      </w:r>
    </w:p>
    <w:p>
      <w:pPr>
        <w:spacing w:after="0" w:line="200" w:lineRule="exact"/>
        <w:rPr>
          <w:sz w:val="20"/>
          <w:szCs w:val="20"/>
          <w:color w:val="auto"/>
        </w:rPr>
      </w:pPr>
    </w:p>
    <w:p>
      <w:pPr>
        <w:sectPr>
          <w:pgSz w:w="11900" w:h="16838" w:orient="portrait"/>
          <w:cols w:equalWidth="0" w:num="2">
            <w:col w:w="4960" w:space="720"/>
            <w:col w:w="4459"/>
          </w:cols>
          <w:pgMar w:left="320" w:top="1394" w:right="1440"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10139"/>
          </w:cols>
          <w:pgMar w:left="320" w:top="1394" w:right="1440" w:bottom="1440" w:gutter="0" w:footer="0" w:header="0"/>
          <w:type w:val="continuous"/>
        </w:sectPr>
      </w:pPr>
    </w:p>
    <w:bookmarkStart w:id="64" w:name="page65"/>
    <w:bookmarkEnd w:id="64"/>
    <w:p>
      <w:pPr>
        <w:ind w:right="4279"/>
        <w:spacing w:after="0" w:line="239" w:lineRule="auto"/>
        <w:rPr>
          <w:sz w:val="20"/>
          <w:szCs w:val="20"/>
          <w:color w:val="auto"/>
        </w:rPr>
      </w:pPr>
      <w:r>
        <w:rPr>
          <w:rFonts w:ascii="Arial" w:cs="Arial" w:eastAsia="Arial" w:hAnsi="Arial"/>
          <w:sz w:val="20"/>
          <w:szCs w:val="20"/>
          <w:b w:val="1"/>
          <w:bCs w:val="1"/>
          <w:color w:val="auto"/>
        </w:rPr>
        <w:t xml:space="preserve">FLUENCE ENERGY GLOBAL PRODUCTION OPERATION, LLC </w:t>
      </w:r>
      <w:r>
        <w:rPr>
          <w:rFonts w:ascii="Arial" w:cs="Arial" w:eastAsia="Arial" w:hAnsi="Arial"/>
          <w:sz w:val="20"/>
          <w:szCs w:val="20"/>
          <w:color w:val="auto"/>
        </w:rPr>
        <w:t>as a Loan Party</w:t>
      </w:r>
    </w:p>
    <w:p>
      <w:pPr>
        <w:spacing w:after="0" w:line="200" w:lineRule="exact"/>
        <w:rPr>
          <w:sz w:val="20"/>
          <w:szCs w:val="20"/>
          <w:color w:val="auto"/>
        </w:rPr>
      </w:pP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7589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Manavendra Sial</w:t>
      </w:r>
    </w:p>
    <w:p>
      <w:pPr>
        <w:ind w:left="660"/>
        <w:spacing w:after="0"/>
        <w:rPr>
          <w:sz w:val="20"/>
          <w:szCs w:val="20"/>
          <w:color w:val="auto"/>
        </w:rPr>
      </w:pPr>
      <w:r>
        <w:rPr>
          <w:rFonts w:ascii="Arial" w:cs="Arial" w:eastAsia="Arial" w:hAnsi="Arial"/>
          <w:sz w:val="20"/>
          <w:szCs w:val="20"/>
          <w:color w:val="auto"/>
        </w:rPr>
        <w:t>Title: Senior Vice President and Chief Financial Officer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8567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Francis A. Fuselier</w:t>
      </w:r>
    </w:p>
    <w:p>
      <w:pPr>
        <w:ind w:left="660"/>
        <w:spacing w:after="0"/>
        <w:rPr>
          <w:sz w:val="20"/>
          <w:szCs w:val="20"/>
          <w:color w:val="auto"/>
        </w:rPr>
      </w:pPr>
      <w:r>
        <w:rPr>
          <w:rFonts w:ascii="Arial" w:cs="Arial" w:eastAsia="Arial" w:hAnsi="Arial"/>
          <w:sz w:val="20"/>
          <w:szCs w:val="20"/>
          <w:color w:val="auto"/>
        </w:rPr>
        <w:t>Title: 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WEIL:\99030839\8\64101.0067</w:t>
      </w:r>
    </w:p>
    <w:p>
      <w:pPr>
        <w:sectPr>
          <w:pgSz w:w="11900" w:h="16838" w:orient="portrait"/>
          <w:cols w:equalWidth="0" w:num="1">
            <w:col w:w="10139"/>
          </w:cols>
          <w:pgMar w:left="320" w:top="1399" w:right="1440"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Edgard Tordecilla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803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80340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Edgard Tordecilla</w:t>
      </w:r>
    </w:p>
    <w:p>
      <w:pPr>
        <w:ind w:left="66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Martijn van Bemmel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9507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Martijn van Bemmel</w:t>
      </w:r>
    </w:p>
    <w:p>
      <w:pPr>
        <w:ind w:left="6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394" w:right="1440"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FLUENCE ENERGY SINGAPORE PTE. LTD.</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Jan Teichmann</w:t>
      </w:r>
    </w:p>
    <w:p>
      <w:pPr>
        <w:ind w:left="660"/>
        <w:spacing w:after="0" w:line="211" w:lineRule="auto"/>
        <w:rPr>
          <w:sz w:val="20"/>
          <w:szCs w:val="20"/>
          <w:color w:val="auto"/>
        </w:rPr>
      </w:pPr>
      <w:r>
        <w:rPr>
          <w:rFonts w:ascii="Arial" w:cs="Arial" w:eastAsia="Arial" w:hAnsi="Arial"/>
          <w:sz w:val="20"/>
          <w:szCs w:val="20"/>
          <w:color w:val="auto"/>
        </w:rPr>
        <w:t>Name: Jan Teichmann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6573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Mikaeloff</w:t>
      </w:r>
    </w:p>
    <w:p>
      <w:pPr>
        <w:ind w:left="660"/>
        <w:spacing w:after="0" w:line="211" w:lineRule="auto"/>
        <w:rPr>
          <w:sz w:val="20"/>
          <w:szCs w:val="20"/>
          <w:color w:val="auto"/>
        </w:rPr>
      </w:pPr>
      <w:r>
        <w:rPr>
          <w:rFonts w:ascii="Arial" w:cs="Arial" w:eastAsia="Arial" w:hAnsi="Arial"/>
          <w:sz w:val="20"/>
          <w:szCs w:val="20"/>
          <w:color w:val="auto"/>
        </w:rPr>
        <w:t>Name: David Mikaeloff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7424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384" w:right="1440"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FLUENCE ENERGY AG</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Gianmarco Pizza</w:t>
      </w:r>
    </w:p>
    <w:p>
      <w:pPr>
        <w:ind w:left="660"/>
        <w:spacing w:after="0" w:line="211" w:lineRule="auto"/>
        <w:rPr>
          <w:sz w:val="20"/>
          <w:szCs w:val="20"/>
          <w:color w:val="auto"/>
        </w:rPr>
      </w:pPr>
      <w:r>
        <w:rPr>
          <w:rFonts w:ascii="Arial" w:cs="Arial" w:eastAsia="Arial" w:hAnsi="Arial"/>
          <w:sz w:val="20"/>
          <w:szCs w:val="20"/>
          <w:color w:val="auto"/>
        </w:rPr>
        <w:t>Name: Gianmarco Pizza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7659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Director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Markus Meyer</w:t>
      </w:r>
    </w:p>
    <w:p>
      <w:pPr>
        <w:ind w:left="660"/>
        <w:spacing w:after="0" w:line="211" w:lineRule="auto"/>
        <w:rPr>
          <w:sz w:val="20"/>
          <w:szCs w:val="20"/>
          <w:color w:val="auto"/>
        </w:rPr>
      </w:pPr>
      <w:r>
        <w:rPr>
          <w:rFonts w:ascii="Arial" w:cs="Arial" w:eastAsia="Arial" w:hAnsi="Arial"/>
          <w:sz w:val="20"/>
          <w:szCs w:val="20"/>
          <w:color w:val="auto"/>
        </w:rPr>
        <w:t>Name: Markus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-127000</wp:posOffset>
            </wp:positionV>
            <wp:extent cx="16471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64719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384" w:right="1440" w:bottom="1440" w:gutter="0" w:footer="0" w:header="0"/>
        </w:sectPr>
      </w:pPr>
    </w:p>
    <w:bookmarkStart w:id="68" w:name="page69"/>
    <w:bookmarkEnd w:id="68"/>
    <w:p>
      <w:pPr>
        <w:spacing w:after="0"/>
        <w:tabs>
          <w:tab w:leader="none" w:pos="262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JPMORGAN CHASE BANK, N.A.</w:t>
      </w:r>
      <w:r>
        <w:rPr>
          <w:rFonts w:ascii="Arial" w:cs="Arial" w:eastAsia="Arial" w:hAnsi="Arial"/>
          <w:sz w:val="19"/>
          <w:szCs w:val="19"/>
          <w:color w:val="auto"/>
        </w:rPr>
        <w:t>,</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Administrative Agent</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-7620</wp:posOffset>
            </wp:positionV>
            <wp:extent cx="16262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626235" cy="8890"/>
                    </a:xfrm>
                    <a:prstGeom prst="rect">
                      <a:avLst/>
                    </a:prstGeom>
                    <a:noFill/>
                  </pic:spPr>
                </pic:pic>
              </a:graphicData>
            </a:graphic>
          </wp:anchor>
        </w:drawing>
      </w:r>
    </w:p>
    <w:p>
      <w:pPr>
        <w:ind w:left="3240"/>
        <w:spacing w:after="0" w:line="211" w:lineRule="auto"/>
        <w:rPr>
          <w:sz w:val="20"/>
          <w:szCs w:val="20"/>
          <w:color w:val="auto"/>
        </w:rPr>
      </w:pPr>
      <w:r>
        <w:rPr>
          <w:rFonts w:ascii="Arial" w:cs="Arial" w:eastAsia="Arial" w:hAnsi="Arial"/>
          <w:sz w:val="20"/>
          <w:szCs w:val="20"/>
          <w:color w:val="auto"/>
        </w:rPr>
        <w:t>Name: Santiago Gascon</w:t>
      </w:r>
    </w:p>
    <w:p>
      <w:pPr>
        <w:ind w:left="32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139"/>
          </w:cols>
          <w:pgMar w:left="320" w:top="1388" w:right="1440" w:bottom="1440" w:gutter="0" w:footer="0" w:header="0"/>
        </w:sectPr>
      </w:pPr>
    </w:p>
    <w:bookmarkStart w:id="69" w:name="page70"/>
    <w:bookmarkEnd w:id="69"/>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JPMORGAN CHASE BANK, N.A.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Santiago Gascon</w:t>
      </w:r>
    </w:p>
    <w:p>
      <w:pPr>
        <w:ind w:left="3240"/>
        <w:spacing w:after="0" w:line="211" w:lineRule="auto"/>
        <w:rPr>
          <w:sz w:val="20"/>
          <w:szCs w:val="20"/>
          <w:color w:val="auto"/>
        </w:rPr>
      </w:pPr>
      <w:r>
        <w:rPr>
          <w:rFonts w:ascii="Arial" w:cs="Arial" w:eastAsia="Arial" w:hAnsi="Arial"/>
          <w:sz w:val="20"/>
          <w:szCs w:val="20"/>
          <w:color w:val="auto"/>
        </w:rPr>
        <w:t>Name: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6262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399" w:right="1440" w:bottom="1440" w:gutter="0" w:footer="0" w:header="0"/>
        </w:sectPr>
      </w:pPr>
    </w:p>
    <w:bookmarkStart w:id="70" w:name="page71"/>
    <w:bookmarkEnd w:id="70"/>
    <w:p>
      <w:pPr>
        <w:spacing w:after="0" w:line="200" w:lineRule="exact"/>
        <w:rPr>
          <w:sz w:val="20"/>
          <w:szCs w:val="20"/>
          <w:color w:val="auto"/>
        </w:rPr>
      </w:pP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Martina Wellik</w:t>
      </w:r>
    </w:p>
    <w:p>
      <w:pPr>
        <w:ind w:left="3240"/>
        <w:spacing w:after="0" w:line="211" w:lineRule="auto"/>
        <w:rPr>
          <w:sz w:val="20"/>
          <w:szCs w:val="20"/>
          <w:color w:val="auto"/>
        </w:rPr>
      </w:pPr>
      <w:r>
        <w:rPr>
          <w:rFonts w:ascii="Arial" w:cs="Arial" w:eastAsia="Arial" w:hAnsi="Arial"/>
          <w:sz w:val="20"/>
          <w:szCs w:val="20"/>
          <w:color w:val="auto"/>
        </w:rPr>
        <w:t>Name: Martina Wellik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4116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0139"/>
          </w:cols>
          <w:pgMar w:left="320" w:top="1440" w:right="1440"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CITIGROUP NORTH AMERICA, INC.</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By: /s/Ashwani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-7620</wp:posOffset>
            </wp:positionV>
            <wp:extent cx="153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Name: Ashwani Khubani</w:t>
      </w:r>
    </w:p>
    <w:p>
      <w:pPr>
        <w:spacing w:after="0"/>
        <w:rPr>
          <w:sz w:val="20"/>
          <w:szCs w:val="20"/>
          <w:color w:val="auto"/>
        </w:rPr>
      </w:pPr>
      <w:r>
        <w:rPr>
          <w:rFonts w:ascii="Arial" w:cs="Arial" w:eastAsia="Arial" w:hAnsi="Arial"/>
          <w:sz w:val="18"/>
          <w:szCs w:val="18"/>
          <w:color w:val="auto"/>
        </w:rPr>
        <w:t>Title: Managing Director/Authorized Signatory</w:t>
      </w:r>
    </w:p>
    <w:p>
      <w:pPr>
        <w:sectPr>
          <w:pgSz w:w="11900" w:h="16838" w:orient="portrait"/>
          <w:cols w:equalWidth="0" w:num="1">
            <w:col w:w="10139"/>
          </w:cols>
          <w:pgMar w:left="320" w:top="1394" w:right="1440" w:bottom="1440" w:gutter="0" w:footer="0" w:header="0"/>
        </w:sectPr>
      </w:pPr>
    </w:p>
    <w:bookmarkStart w:id="72" w:name="page73"/>
    <w:bookmarkEnd w:id="72"/>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LENDER:</w:t>
      </w:r>
      <w:r>
        <w:rPr>
          <w:rFonts w:ascii="Arial" w:cs="Arial" w:eastAsia="Arial" w:hAnsi="Arial"/>
          <w:sz w:val="19"/>
          <w:szCs w:val="19"/>
          <w:color w:val="auto"/>
        </w:rPr>
        <w:t xml:space="preserve"> HSBC BANK USA, NATIONAL ASSOCIATION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 /s/Jessica Smith</w:t>
      </w:r>
    </w:p>
    <w:p>
      <w:pPr>
        <w:ind w:left="2600"/>
        <w:spacing w:after="0" w:line="211" w:lineRule="auto"/>
        <w:rPr>
          <w:sz w:val="20"/>
          <w:szCs w:val="20"/>
          <w:color w:val="auto"/>
        </w:rPr>
      </w:pPr>
      <w:r>
        <w:rPr>
          <w:rFonts w:ascii="Arial" w:cs="Arial" w:eastAsia="Arial" w:hAnsi="Arial"/>
          <w:sz w:val="20"/>
          <w:szCs w:val="20"/>
          <w:color w:val="auto"/>
        </w:rPr>
        <w:t>Name: Jessica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-127000</wp:posOffset>
            </wp:positionV>
            <wp:extent cx="13017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139"/>
          </w:cols>
          <w:pgMar w:left="320" w:top="1440" w:right="1440" w:bottom="1440" w:gutter="0" w:footer="0" w:header="0"/>
        </w:sectPr>
      </w:pPr>
    </w:p>
    <w:bookmarkStart w:id="73" w:name="page74"/>
    <w:bookmarkEnd w:id="73"/>
    <w:p>
      <w:pPr>
        <w:spacing w:after="0" w:line="200" w:lineRule="exact"/>
        <w:rPr>
          <w:sz w:val="20"/>
          <w:szCs w:val="20"/>
          <w:color w:val="auto"/>
        </w:rPr>
      </w:pP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u w:val="single" w:color="auto"/>
          <w:color w:val="auto"/>
        </w:rPr>
        <w:t>LENDER:</w:t>
      </w:r>
      <w:r>
        <w:rPr>
          <w:sz w:val="20"/>
          <w:szCs w:val="20"/>
          <w:color w:val="auto"/>
        </w:rPr>
        <w:tab/>
      </w:r>
      <w:r>
        <w:rPr>
          <w:rFonts w:ascii="Arial" w:cs="Arial" w:eastAsia="Arial" w:hAnsi="Arial"/>
          <w:sz w:val="19"/>
          <w:szCs w:val="19"/>
          <w:b w:val="1"/>
          <w:bCs w:val="1"/>
          <w:color w:val="auto"/>
        </w:rPr>
        <w:t>MORGAN STANLEY SENIOR FUNDING,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Rikin Pandya</w:t>
      </w:r>
    </w:p>
    <w:p>
      <w:pPr>
        <w:ind w:left="3240"/>
        <w:spacing w:after="0" w:line="211" w:lineRule="auto"/>
        <w:rPr>
          <w:sz w:val="20"/>
          <w:szCs w:val="20"/>
          <w:color w:val="auto"/>
        </w:rPr>
      </w:pPr>
      <w:r>
        <w:rPr>
          <w:rFonts w:ascii="Arial" w:cs="Arial" w:eastAsia="Arial" w:hAnsi="Arial"/>
          <w:sz w:val="20"/>
          <w:szCs w:val="20"/>
          <w:color w:val="auto"/>
        </w:rPr>
        <w:t>Name: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2388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139"/>
          </w:cols>
          <w:pgMar w:left="320" w:top="1440" w:right="1440" w:bottom="1440" w:gutter="0" w:footer="0" w:header="0"/>
        </w:sectPr>
      </w:pPr>
    </w:p>
    <w:bookmarkStart w:id="74" w:name="page75"/>
    <w:bookmarkEnd w:id="74"/>
    <w:p>
      <w:pPr>
        <w:spacing w:after="0" w:line="200" w:lineRule="exact"/>
        <w:rPr>
          <w:sz w:val="20"/>
          <w:szCs w:val="20"/>
          <w:color w:val="auto"/>
        </w:rPr>
      </w:pP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u w:val="single" w:color="auto"/>
          <w:color w:val="auto"/>
        </w:rPr>
        <w:t>LENDER:</w:t>
      </w:r>
      <w:r>
        <w:rPr>
          <w:sz w:val="20"/>
          <w:szCs w:val="20"/>
          <w:color w:val="auto"/>
        </w:rPr>
        <w:tab/>
      </w:r>
      <w:r>
        <w:rPr>
          <w:rFonts w:ascii="Arial" w:cs="Arial" w:eastAsia="Arial" w:hAnsi="Arial"/>
          <w:sz w:val="20"/>
          <w:szCs w:val="20"/>
          <w:b w:val="1"/>
          <w:bCs w:val="1"/>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Christopher J. Heitker</w:t>
      </w:r>
    </w:p>
    <w:p>
      <w:pPr>
        <w:jc w:val="right"/>
        <w:ind w:right="4559"/>
        <w:spacing w:after="0" w:line="211" w:lineRule="auto"/>
        <w:rPr>
          <w:sz w:val="20"/>
          <w:szCs w:val="20"/>
          <w:color w:val="auto"/>
        </w:rPr>
      </w:pPr>
      <w:r>
        <w:rPr>
          <w:rFonts w:ascii="Arial" w:cs="Arial" w:eastAsia="Arial" w:hAnsi="Arial"/>
          <w:sz w:val="20"/>
          <w:szCs w:val="20"/>
          <w:color w:val="auto"/>
        </w:rPr>
        <w:t>Name: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6719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139"/>
          </w:cols>
          <w:pgMar w:left="320" w:top="1440" w:right="1440" w:bottom="1440" w:gutter="0" w:footer="0" w:header="0"/>
        </w:sectPr>
      </w:pPr>
    </w:p>
    <w:bookmarkStart w:id="75" w:name="page76"/>
    <w:bookmarkEnd w:id="75"/>
    <w:p>
      <w:pPr>
        <w:spacing w:after="0" w:line="200" w:lineRule="exact"/>
        <w:rPr>
          <w:sz w:val="20"/>
          <w:szCs w:val="20"/>
          <w:color w:val="auto"/>
        </w:rPr>
      </w:pP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u w:val="single" w:color="auto"/>
          <w:color w:val="auto"/>
        </w:rPr>
        <w:t>LENDER:</w:t>
      </w:r>
      <w:r>
        <w:rPr>
          <w:sz w:val="20"/>
          <w:szCs w:val="20"/>
          <w:color w:val="auto"/>
        </w:rPr>
        <w:tab/>
      </w:r>
      <w:r>
        <w:rPr>
          <w:rFonts w:ascii="Arial" w:cs="Arial" w:eastAsia="Arial" w:hAnsi="Arial"/>
          <w:sz w:val="19"/>
          <w:szCs w:val="19"/>
          <w:b w:val="1"/>
          <w:bCs w:val="1"/>
          <w:color w:val="auto"/>
        </w:rPr>
        <w:t>CREDIT SUISSE AG, CAYMAN ISLANDS BRANCH</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Komal Shah</w:t>
      </w:r>
    </w:p>
    <w:p>
      <w:pPr>
        <w:ind w:left="3240"/>
        <w:spacing w:after="0" w:line="211" w:lineRule="auto"/>
        <w:rPr>
          <w:sz w:val="20"/>
          <w:szCs w:val="20"/>
          <w:color w:val="auto"/>
        </w:rPr>
      </w:pPr>
      <w:r>
        <w:rPr>
          <w:rFonts w:ascii="Arial" w:cs="Arial" w:eastAsia="Arial" w:hAnsi="Arial"/>
          <w:sz w:val="20"/>
          <w:szCs w:val="20"/>
          <w:color w:val="auto"/>
        </w:rPr>
        <w:t>Name: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1830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Title: Authorized Signatory</w:t>
      </w:r>
    </w:p>
    <w:p>
      <w:pPr>
        <w:spacing w:after="0" w:line="27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Heesu Sin</w:t>
      </w:r>
    </w:p>
    <w:p>
      <w:pPr>
        <w:ind w:left="3240"/>
        <w:spacing w:after="0" w:line="211" w:lineRule="auto"/>
        <w:rPr>
          <w:sz w:val="20"/>
          <w:szCs w:val="20"/>
          <w:color w:val="auto"/>
        </w:rPr>
      </w:pPr>
      <w:r>
        <w:rPr>
          <w:rFonts w:ascii="Arial" w:cs="Arial" w:eastAsia="Arial" w:hAnsi="Arial"/>
          <w:sz w:val="20"/>
          <w:szCs w:val="20"/>
          <w:color w:val="auto"/>
        </w:rPr>
        <w:t>Name: Heesu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0718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39"/>
          </w:cols>
          <w:pgMar w:left="320" w:top="1440" w:right="1440" w:bottom="1440" w:gutter="0" w:footer="0" w:header="0"/>
          <w:type w:val="continuous"/>
        </w:sectPr>
      </w:pPr>
    </w:p>
    <w:bookmarkStart w:id="76" w:name="page77"/>
    <w:bookmarkEnd w:id="76"/>
    <w:p>
      <w:pPr>
        <w:spacing w:after="0" w:line="200" w:lineRule="exact"/>
        <w:rPr>
          <w:sz w:val="20"/>
          <w:szCs w:val="20"/>
          <w:color w:val="auto"/>
        </w:rPr>
      </w:pP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u w:val="single" w:color="auto"/>
          <w:color w:val="auto"/>
        </w:rPr>
        <w:t>LENDER:</w:t>
      </w:r>
      <w:r>
        <w:rPr>
          <w:sz w:val="20"/>
          <w:szCs w:val="20"/>
          <w:color w:val="auto"/>
        </w:rPr>
        <w:tab/>
      </w:r>
      <w:r>
        <w:rPr>
          <w:rFonts w:ascii="Arial" w:cs="Arial" w:eastAsia="Arial" w:hAnsi="Arial"/>
          <w:sz w:val="20"/>
          <w:szCs w:val="20"/>
          <w:b w:val="1"/>
          <w:bCs w:val="1"/>
          <w:color w:val="auto"/>
        </w:rPr>
        <w:t>STANDARD CHARTERED BANK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Kristopher Tracy</w:t>
      </w:r>
    </w:p>
    <w:p>
      <w:pPr>
        <w:ind w:left="3240"/>
        <w:spacing w:after="0" w:line="211" w:lineRule="auto"/>
        <w:rPr>
          <w:sz w:val="20"/>
          <w:szCs w:val="20"/>
          <w:color w:val="auto"/>
        </w:rPr>
      </w:pPr>
      <w:r>
        <w:rPr>
          <w:rFonts w:ascii="Arial" w:cs="Arial" w:eastAsia="Arial" w:hAnsi="Arial"/>
          <w:sz w:val="20"/>
          <w:szCs w:val="20"/>
          <w:color w:val="auto"/>
        </w:rPr>
        <w:t>Name: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-127000</wp:posOffset>
            </wp:positionV>
            <wp:extent cx="14135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jc w:val="right"/>
        <w:ind w:right="4079"/>
        <w:spacing w:after="0"/>
        <w:rPr>
          <w:sz w:val="20"/>
          <w:szCs w:val="20"/>
          <w:color w:val="auto"/>
        </w:rPr>
      </w:pPr>
      <w:r>
        <w:rPr>
          <w:rFonts w:ascii="Arial" w:cs="Arial" w:eastAsia="Arial" w:hAnsi="Arial"/>
          <w:sz w:val="20"/>
          <w:szCs w:val="20"/>
          <w:color w:val="auto"/>
        </w:rPr>
        <w:t>Title: Director, Financing Solutions</w:t>
      </w:r>
    </w:p>
    <w:p>
      <w:pPr>
        <w:sectPr>
          <w:pgSz w:w="11900" w:h="16838" w:orient="portrait"/>
          <w:cols w:equalWidth="0" w:num="1">
            <w:col w:w="10139"/>
          </w:cols>
          <w:pgMar w:left="320" w:top="1440" w:right="1440" w:bottom="1440" w:gutter="0" w:footer="0" w:header="0"/>
        </w:sectPr>
      </w:pPr>
    </w:p>
    <w:bookmarkStart w:id="77" w:name="page78"/>
    <w:bookmarkEnd w:id="77"/>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UBS AG, STAMFORD BRANCH, </w:t>
      </w: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By: /s/ Danielle Calo</w:t>
      </w:r>
    </w:p>
    <w:p>
      <w:pPr>
        <w:ind w:left="3040"/>
        <w:spacing w:after="0" w:line="211" w:lineRule="auto"/>
        <w:rPr>
          <w:sz w:val="20"/>
          <w:szCs w:val="20"/>
          <w:color w:val="auto"/>
        </w:rPr>
      </w:pPr>
      <w:r>
        <w:rPr>
          <w:rFonts w:ascii="Arial" w:cs="Arial" w:eastAsia="Arial" w:hAnsi="Arial"/>
          <w:sz w:val="20"/>
          <w:szCs w:val="20"/>
          <w:color w:val="auto"/>
        </w:rPr>
        <w:t>Name: Danielle Calo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-127000</wp:posOffset>
            </wp:positionV>
            <wp:extent cx="12528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8"/>
          <w:szCs w:val="18"/>
          <w:color w:val="auto"/>
        </w:rPr>
        <w:t>Title: Associate Director</w:t>
      </w:r>
    </w:p>
    <w:p>
      <w:pPr>
        <w:spacing w:after="0" w:line="27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By: /s/ Stephanie Celi</w:t>
      </w:r>
    </w:p>
    <w:p>
      <w:pPr>
        <w:ind w:left="3040"/>
        <w:spacing w:after="0" w:line="222" w:lineRule="auto"/>
        <w:rPr>
          <w:sz w:val="20"/>
          <w:szCs w:val="20"/>
          <w:color w:val="auto"/>
        </w:rPr>
      </w:pPr>
      <w:r>
        <w:rPr>
          <w:rFonts w:ascii="Arial" w:cs="Arial" w:eastAsia="Arial" w:hAnsi="Arial"/>
          <w:sz w:val="19"/>
          <w:szCs w:val="19"/>
          <w:color w:val="auto"/>
        </w:rPr>
        <w:t>Name: Stephanie Celi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-127000</wp:posOffset>
            </wp:positionV>
            <wp:extent cx="1294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939"/>
          </w:cols>
          <w:pgMar w:left="520" w:top="1440" w:right="1440" w:bottom="1440" w:gutter="0" w:footer="0" w:header="0"/>
        </w:sectPr>
      </w:pPr>
    </w:p>
    <w:bookmarkStart w:id="78" w:name="page79"/>
    <w:bookmarkEnd w:id="78"/>
    <w:p>
      <w:pPr>
        <w:spacing w:after="0" w:line="200" w:lineRule="exact"/>
        <w:rPr>
          <w:sz w:val="20"/>
          <w:szCs w:val="20"/>
          <w:color w:val="auto"/>
        </w:rPr>
      </w:pPr>
    </w:p>
    <w:p>
      <w:pPr>
        <w:spacing w:after="0" w:line="321"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u w:val="single" w:color="auto"/>
          <w:color w:val="auto"/>
        </w:rPr>
        <w:t>LENDER:</w:t>
      </w:r>
      <w:r>
        <w:rPr>
          <w:sz w:val="20"/>
          <w:szCs w:val="20"/>
          <w:color w:val="auto"/>
        </w:rPr>
        <w:tab/>
      </w:r>
      <w:r>
        <w:rPr>
          <w:rFonts w:ascii="Arial" w:cs="Arial" w:eastAsia="Arial" w:hAnsi="Arial"/>
          <w:sz w:val="20"/>
          <w:szCs w:val="20"/>
          <w:b w:val="1"/>
          <w:bCs w:val="1"/>
          <w:color w:val="auto"/>
        </w:rPr>
        <w:t>BARCLAYS BANK PLC,</w:t>
      </w:r>
    </w:p>
    <w:p>
      <w:pPr>
        <w:ind w:left="200"/>
        <w:spacing w:after="0"/>
        <w:rPr>
          <w:sz w:val="20"/>
          <w:szCs w:val="20"/>
          <w:color w:val="auto"/>
        </w:rPr>
      </w:pPr>
      <w:r>
        <w:rPr>
          <w:rFonts w:ascii="Arial" w:cs="Arial" w:eastAsia="Arial" w:hAnsi="Arial"/>
          <w:sz w:val="20"/>
          <w:szCs w:val="20"/>
          <w:color w:val="auto"/>
        </w:rPr>
        <w:t>as a Revolving Lender and Issuing Bank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0</wp:posOffset>
            </wp:positionV>
            <wp:extent cx="14160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jc w:val="right"/>
        <w:ind w:right="4959"/>
        <w:spacing w:after="0" w:line="223" w:lineRule="auto"/>
        <w:rPr>
          <w:sz w:val="20"/>
          <w:szCs w:val="20"/>
          <w:color w:val="auto"/>
        </w:rPr>
      </w:pPr>
      <w:r>
        <w:rPr>
          <w:rFonts w:ascii="Arial" w:cs="Arial" w:eastAsia="Arial" w:hAnsi="Arial"/>
          <w:sz w:val="20"/>
          <w:szCs w:val="20"/>
          <w:color w:val="auto"/>
        </w:rPr>
        <w:t>Name: Warren Veech III</w:t>
      </w:r>
    </w:p>
    <w:p>
      <w:pPr>
        <w:ind w:left="32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139"/>
          </w:cols>
          <w:pgMar w:left="320" w:top="1440" w:right="1440" w:bottom="1440" w:gutter="0" w:footer="0" w:header="0"/>
        </w:sectPr>
      </w:pPr>
    </w:p>
    <w:bookmarkStart w:id="79" w:name="page80"/>
    <w:bookmarkEnd w:id="79"/>
    <w:p>
      <w:pPr>
        <w:ind w:left="2500"/>
        <w:spacing w:after="0"/>
        <w:rPr>
          <w:sz w:val="20"/>
          <w:szCs w:val="20"/>
          <w:color w:val="auto"/>
        </w:rPr>
      </w:pPr>
      <w:r>
        <w:rPr>
          <w:rFonts w:ascii="Arial" w:cs="Arial" w:eastAsia="Arial" w:hAnsi="Arial"/>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Attached hereto</w:t>
      </w:r>
      <w:r>
        <w:rPr>
          <w:rFonts w:ascii="Arial" w:cs="Arial" w:eastAsia="Arial" w:hAnsi="Arial"/>
          <w:sz w:val="16"/>
          <w:szCs w:val="16"/>
          <w:color w:val="auto"/>
        </w:rPr>
        <w:t>)</w:t>
      </w:r>
    </w:p>
    <w:p>
      <w:pPr>
        <w:sectPr>
          <w:pgSz w:w="11900" w:h="16838" w:orient="portrait"/>
          <w:cols w:equalWidth="0" w:num="1">
            <w:col w:w="9019"/>
          </w:cols>
          <w:pgMar w:left="1440" w:top="1405" w:right="1440" w:bottom="1440" w:gutter="0" w:footer="0" w:header="0"/>
        </w:sectPr>
      </w:pPr>
    </w:p>
    <w:bookmarkStart w:id="80" w:name="page81"/>
    <w:bookmarkEnd w:id="80"/>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156845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REVOLVING CREDIT AGREEMENT</w:t>
      </w:r>
    </w:p>
    <w:p>
      <w:pPr>
        <w:spacing w:after="0" w:line="17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dated as of</w:t>
      </w:r>
    </w:p>
    <w:p>
      <w:pPr>
        <w:spacing w:after="0" w:line="17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November 1, 2021</w:t>
      </w:r>
    </w:p>
    <w:p>
      <w:pPr>
        <w:spacing w:after="0" w:line="179" w:lineRule="exact"/>
        <w:rPr>
          <w:sz w:val="20"/>
          <w:szCs w:val="20"/>
          <w:color w:val="auto"/>
        </w:rPr>
      </w:pPr>
    </w:p>
    <w:p>
      <w:pPr>
        <w:jc w:val="center"/>
        <w:ind w:right="140"/>
        <w:spacing w:after="0" w:line="232" w:lineRule="auto"/>
        <w:rPr>
          <w:sz w:val="20"/>
          <w:szCs w:val="20"/>
          <w:color w:val="auto"/>
        </w:rPr>
      </w:pPr>
      <w:r>
        <w:rPr>
          <w:rFonts w:ascii="Arial" w:cs="Arial" w:eastAsia="Arial" w:hAnsi="Arial"/>
          <w:sz w:val="22"/>
          <w:szCs w:val="22"/>
          <w:u w:val="single" w:color="auto"/>
          <w:color w:val="0000FF"/>
        </w:rPr>
        <w:t>(as amended by that certain Amendment No. 1, dated November 15, 2022 and as amended by that certain Amendment No. 2 to Revolving Credit Agreement dated, May 19, 2023)</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among</w:t>
      </w:r>
    </w:p>
    <w:p>
      <w:pPr>
        <w:spacing w:after="0" w:line="16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FLUENCE ENERGY, LLC,</w:t>
      </w:r>
    </w:p>
    <w:p>
      <w:pPr>
        <w:ind w:left="4780"/>
        <w:spacing w:after="0"/>
        <w:rPr>
          <w:sz w:val="20"/>
          <w:szCs w:val="20"/>
          <w:color w:val="auto"/>
        </w:rPr>
      </w:pPr>
      <w:r>
        <w:rPr>
          <w:rFonts w:ascii="Arial" w:cs="Arial" w:eastAsia="Arial" w:hAnsi="Arial"/>
          <w:sz w:val="22"/>
          <w:szCs w:val="22"/>
          <w:color w:val="auto"/>
        </w:rPr>
        <w:t>as the Borrower,</w:t>
      </w:r>
    </w:p>
    <w:p>
      <w:pPr>
        <w:spacing w:after="0" w:line="14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FLUENCE ENERGY, INC.,</w:t>
      </w:r>
    </w:p>
    <w:p>
      <w:pPr>
        <w:ind w:left="4940"/>
        <w:spacing w:after="0"/>
        <w:rPr>
          <w:sz w:val="20"/>
          <w:szCs w:val="20"/>
          <w:color w:val="auto"/>
        </w:rPr>
      </w:pPr>
      <w:r>
        <w:rPr>
          <w:rFonts w:ascii="Arial" w:cs="Arial" w:eastAsia="Arial" w:hAnsi="Arial"/>
          <w:sz w:val="22"/>
          <w:szCs w:val="22"/>
          <w:color w:val="auto"/>
        </w:rPr>
        <w:t>as the Parent</w:t>
      </w:r>
    </w:p>
    <w:p>
      <w:pPr>
        <w:spacing w:after="0" w:line="188"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THE GUARANTORS PARTY HERETO</w:t>
      </w:r>
    </w:p>
    <w:p>
      <w:pPr>
        <w:spacing w:after="0" w:line="16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THE LENDERS PARTY HERETO</w:t>
      </w:r>
    </w:p>
    <w:p>
      <w:pPr>
        <w:jc w:val="center"/>
        <w:ind w:right="140"/>
        <w:spacing w:after="0"/>
        <w:rPr>
          <w:sz w:val="20"/>
          <w:szCs w:val="20"/>
          <w:color w:val="auto"/>
        </w:rPr>
      </w:pPr>
      <w:r>
        <w:rPr>
          <w:rFonts w:ascii="Arial" w:cs="Arial" w:eastAsia="Arial" w:hAnsi="Arial"/>
          <w:sz w:val="22"/>
          <w:szCs w:val="22"/>
          <w:color w:val="auto"/>
        </w:rPr>
        <w:t>and</w:t>
      </w:r>
    </w:p>
    <w:p>
      <w:pPr>
        <w:spacing w:after="0" w:line="14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JPMORGAN CHASE BANK, N.A.,</w:t>
      </w:r>
    </w:p>
    <w:p>
      <w:pPr>
        <w:jc w:val="center"/>
        <w:ind w:right="140"/>
        <w:spacing w:after="0"/>
        <w:rPr>
          <w:sz w:val="20"/>
          <w:szCs w:val="20"/>
          <w:color w:val="auto"/>
        </w:rPr>
      </w:pPr>
      <w:r>
        <w:rPr>
          <w:rFonts w:ascii="Arial" w:cs="Arial" w:eastAsia="Arial" w:hAnsi="Arial"/>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467360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JPMORGAN CHASE BANK, N.A.,</w:t>
      </w:r>
    </w:p>
    <w:p>
      <w:pPr>
        <w:jc w:val="center"/>
        <w:ind w:right="140"/>
        <w:spacing w:after="0" w:line="204" w:lineRule="auto"/>
        <w:rPr>
          <w:sz w:val="20"/>
          <w:szCs w:val="20"/>
          <w:color w:val="auto"/>
        </w:rPr>
      </w:pPr>
      <w:r>
        <w:rPr>
          <w:rFonts w:ascii="Arial" w:cs="Arial" w:eastAsia="Arial" w:hAnsi="Arial"/>
          <w:sz w:val="22"/>
          <w:szCs w:val="22"/>
          <w:color w:val="auto"/>
        </w:rPr>
        <w:t>MORGAN STANLEY SENIOR FUNDING, INC.</w:t>
      </w:r>
      <w:r>
        <w:rPr>
          <w:rFonts w:ascii="Arial" w:cs="Arial" w:eastAsia="Arial" w:hAnsi="Arial"/>
          <w:sz w:val="22"/>
          <w:szCs w:val="22"/>
          <w:u w:val="single" w:color="auto"/>
          <w:color w:val="0000FF"/>
        </w:rPr>
        <w:t>,</w:t>
      </w:r>
    </w:p>
    <w:p>
      <w:pPr>
        <w:jc w:val="center"/>
        <w:ind w:right="140"/>
        <w:spacing w:after="0" w:line="205" w:lineRule="auto"/>
        <w:rPr>
          <w:sz w:val="20"/>
          <w:szCs w:val="20"/>
          <w:color w:val="auto"/>
        </w:rPr>
      </w:pPr>
      <w:r>
        <w:rPr>
          <w:rFonts w:ascii="Arial" w:cs="Arial" w:eastAsia="Arial" w:hAnsi="Arial"/>
          <w:sz w:val="22"/>
          <w:szCs w:val="22"/>
          <w:color w:val="auto"/>
        </w:rPr>
        <w:t>BARCLAYS BANK PLC,</w:t>
      </w:r>
    </w:p>
    <w:p>
      <w:pPr>
        <w:jc w:val="center"/>
        <w:ind w:right="140"/>
        <w:spacing w:after="0" w:line="205" w:lineRule="auto"/>
        <w:rPr>
          <w:sz w:val="20"/>
          <w:szCs w:val="20"/>
          <w:color w:val="auto"/>
        </w:rPr>
      </w:pPr>
      <w:r>
        <w:rPr>
          <w:rFonts w:ascii="Arial" w:cs="Arial" w:eastAsia="Arial" w:hAnsi="Arial"/>
          <w:sz w:val="22"/>
          <w:szCs w:val="22"/>
          <w:color w:val="auto"/>
        </w:rPr>
        <w:t>and</w:t>
      </w:r>
    </w:p>
    <w:p>
      <w:pPr>
        <w:jc w:val="center"/>
        <w:ind w:right="140"/>
        <w:spacing w:after="0" w:line="205" w:lineRule="auto"/>
        <w:rPr>
          <w:sz w:val="20"/>
          <w:szCs w:val="20"/>
          <w:color w:val="auto"/>
        </w:rPr>
      </w:pPr>
      <w:r>
        <w:rPr>
          <w:rFonts w:ascii="Arial" w:cs="Arial" w:eastAsia="Arial" w:hAnsi="Arial"/>
          <w:sz w:val="22"/>
          <w:szCs w:val="22"/>
          <w:color w:val="auto"/>
        </w:rPr>
        <w:t>BOFA SECURITIES, INC.</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as Joint Lead Arrangers and Joint Bookrunners</w:t>
      </w:r>
    </w:p>
    <w:p>
      <w:pPr>
        <w:spacing w:after="0" w:line="16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MORGAN STANLEY SENIOR FUNDING, INC.,</w:t>
      </w:r>
    </w:p>
    <w:p>
      <w:pPr>
        <w:jc w:val="center"/>
        <w:ind w:right="140"/>
        <w:spacing w:after="0"/>
        <w:rPr>
          <w:sz w:val="20"/>
          <w:szCs w:val="20"/>
          <w:color w:val="auto"/>
        </w:rPr>
      </w:pPr>
      <w:r>
        <w:rPr>
          <w:rFonts w:ascii="Arial" w:cs="Arial" w:eastAsia="Arial" w:hAnsi="Arial"/>
          <w:sz w:val="22"/>
          <w:szCs w:val="22"/>
          <w:color w:val="auto"/>
        </w:rPr>
        <w:t>as Syndication Agent</w:t>
      </w:r>
    </w:p>
    <w:p>
      <w:pPr>
        <w:spacing w:after="0" w:line="14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BARCLAYS BANK PLC</w:t>
      </w:r>
    </w:p>
    <w:p>
      <w:pPr>
        <w:jc w:val="center"/>
        <w:ind w:right="140"/>
        <w:spacing w:after="0" w:line="204" w:lineRule="auto"/>
        <w:rPr>
          <w:sz w:val="20"/>
          <w:szCs w:val="20"/>
          <w:color w:val="auto"/>
        </w:rPr>
      </w:pPr>
      <w:r>
        <w:rPr>
          <w:rFonts w:ascii="Arial" w:cs="Arial" w:eastAsia="Arial" w:hAnsi="Arial"/>
          <w:sz w:val="22"/>
          <w:szCs w:val="22"/>
          <w:color w:val="auto"/>
        </w:rPr>
        <w:t>and</w:t>
      </w:r>
    </w:p>
    <w:p>
      <w:pPr>
        <w:jc w:val="center"/>
        <w:ind w:right="140"/>
        <w:spacing w:after="0" w:line="205" w:lineRule="auto"/>
        <w:rPr>
          <w:sz w:val="20"/>
          <w:szCs w:val="20"/>
          <w:color w:val="auto"/>
        </w:rPr>
      </w:pPr>
      <w:r>
        <w:rPr>
          <w:rFonts w:ascii="Arial" w:cs="Arial" w:eastAsia="Arial" w:hAnsi="Arial"/>
          <w:sz w:val="22"/>
          <w:szCs w:val="22"/>
          <w:color w:val="auto"/>
        </w:rPr>
        <w:t>BANK OF AMERICA, N.A.,</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as Documentation Agents</w:t>
      </w:r>
    </w:p>
    <w:p>
      <w:pPr>
        <w:sectPr>
          <w:pgSz w:w="11900" w:h="16838" w:orient="portrait"/>
          <w:cols w:equalWidth="0" w:num="1">
            <w:col w:w="11100"/>
          </w:cols>
          <w:pgMar w:left="460" w:top="1440" w:right="339"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80"/>
        </w:trPr>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980" w:type="dxa"/>
            <w:vAlign w:val="bottom"/>
            <w:gridSpan w:val="5"/>
          </w:tcPr>
          <w:p>
            <w:pPr>
              <w:ind w:left="220"/>
              <w:spacing w:after="0"/>
              <w:rPr>
                <w:sz w:val="20"/>
                <w:szCs w:val="20"/>
                <w:color w:val="auto"/>
              </w:rPr>
            </w:pPr>
            <w:r>
              <w:rPr>
                <w:rFonts w:ascii="Arial" w:cs="Arial" w:eastAsia="Arial" w:hAnsi="Arial"/>
                <w:sz w:val="22"/>
                <w:szCs w:val="22"/>
                <w:b w:val="1"/>
                <w:bCs w:val="1"/>
                <w:color w:val="auto"/>
              </w:rPr>
              <w:t>TABLE OF CONTENTS</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1</w:t>
            </w:r>
          </w:p>
        </w:tc>
        <w:tc>
          <w:tcPr>
            <w:tcW w:w="1540" w:type="dxa"/>
            <w:vAlign w:val="bottom"/>
            <w:gridSpan w:val="3"/>
          </w:tcPr>
          <w:p>
            <w:pPr>
              <w:ind w:left="100"/>
              <w:spacing w:after="0"/>
              <w:rPr>
                <w:sz w:val="20"/>
                <w:szCs w:val="20"/>
                <w:color w:val="auto"/>
              </w:rPr>
            </w:pPr>
            <w:r>
              <w:rPr>
                <w:rFonts w:ascii="Arial" w:cs="Arial" w:eastAsia="Arial" w:hAnsi="Arial"/>
                <w:sz w:val="22"/>
                <w:szCs w:val="22"/>
                <w:color w:val="auto"/>
              </w:rPr>
              <w:t>DEFINITIONS</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1.01</w:t>
            </w:r>
          </w:p>
        </w:tc>
        <w:tc>
          <w:tcPr>
            <w:tcW w:w="1480" w:type="dxa"/>
            <w:vAlign w:val="bottom"/>
            <w:gridSpan w:val="4"/>
          </w:tcPr>
          <w:p>
            <w:pPr>
              <w:ind w:left="100"/>
              <w:spacing w:after="0"/>
              <w:rPr>
                <w:sz w:val="20"/>
                <w:szCs w:val="20"/>
                <w:color w:val="auto"/>
              </w:rPr>
            </w:pPr>
            <w:r>
              <w:rPr>
                <w:rFonts w:ascii="Arial" w:cs="Arial" w:eastAsia="Arial" w:hAnsi="Arial"/>
                <w:sz w:val="22"/>
                <w:szCs w:val="22"/>
                <w:color w:val="auto"/>
                <w:w w:val="94"/>
              </w:rPr>
              <w:t>Defined Terms</w:t>
            </w:r>
          </w:p>
        </w:tc>
        <w:tc>
          <w:tcPr>
            <w:tcW w:w="520" w:type="dxa"/>
            <w:vAlign w:val="bottom"/>
            <w:gridSpan w:val="2"/>
          </w:tcPr>
          <w:p>
            <w:pPr>
              <w:jc w:val="right"/>
              <w:ind w:right="172"/>
              <w:spacing w:after="0"/>
              <w:rPr>
                <w:sz w:val="20"/>
                <w:szCs w:val="20"/>
                <w:color w:val="auto"/>
              </w:rPr>
            </w:pPr>
            <w:r>
              <w:rPr>
                <w:rFonts w:ascii="Arial" w:cs="Arial" w:eastAsia="Arial" w:hAnsi="Arial"/>
                <w:sz w:val="22"/>
                <w:szCs w:val="22"/>
                <w:color w:val="auto"/>
              </w:rPr>
              <w:t>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vMerge w:val="restart"/>
          </w:tcPr>
          <w:p>
            <w:pPr>
              <w:jc w:val="right"/>
              <w:ind w:right="252"/>
              <w:spacing w:after="0"/>
              <w:rPr>
                <w:sz w:val="20"/>
                <w:szCs w:val="20"/>
                <w:color w:val="auto"/>
              </w:rPr>
            </w:pPr>
            <w:r>
              <w:rPr>
                <w:rFonts w:ascii="Arial" w:cs="Arial" w:eastAsia="Arial" w:hAnsi="Arial"/>
                <w:sz w:val="22"/>
                <w:szCs w:val="22"/>
                <w:color w:val="auto"/>
              </w:rPr>
              <w:t>48</w:t>
            </w:r>
          </w:p>
        </w:tc>
        <w:tc>
          <w:tcPr>
            <w:tcW w:w="3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1.02</w:t>
            </w:r>
          </w:p>
        </w:tc>
        <w:tc>
          <w:tcPr>
            <w:tcW w:w="3700" w:type="dxa"/>
            <w:vAlign w:val="bottom"/>
            <w:gridSpan w:val="11"/>
          </w:tcPr>
          <w:p>
            <w:pPr>
              <w:ind w:left="100"/>
              <w:spacing w:after="0" w:line="216" w:lineRule="exact"/>
              <w:rPr>
                <w:sz w:val="20"/>
                <w:szCs w:val="20"/>
                <w:color w:val="auto"/>
              </w:rPr>
            </w:pPr>
            <w:r>
              <w:rPr>
                <w:rFonts w:ascii="Arial" w:cs="Arial" w:eastAsia="Arial" w:hAnsi="Arial"/>
                <w:sz w:val="22"/>
                <w:szCs w:val="22"/>
                <w:color w:val="auto"/>
                <w:w w:val="94"/>
              </w:rPr>
              <w:t>Classification of Loans and Borrowings</w:t>
            </w:r>
          </w:p>
        </w:tc>
        <w:tc>
          <w:tcPr>
            <w:tcW w:w="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1.03</w:t>
            </w:r>
          </w:p>
        </w:tc>
        <w:tc>
          <w:tcPr>
            <w:tcW w:w="1640" w:type="dxa"/>
            <w:vAlign w:val="bottom"/>
            <w:gridSpan w:val="5"/>
          </w:tcPr>
          <w:p>
            <w:pPr>
              <w:ind w:left="100"/>
              <w:spacing w:after="0" w:line="216" w:lineRule="exact"/>
              <w:rPr>
                <w:sz w:val="20"/>
                <w:szCs w:val="20"/>
                <w:color w:val="auto"/>
              </w:rPr>
            </w:pPr>
            <w:r>
              <w:rPr>
                <w:rFonts w:ascii="Arial" w:cs="Arial" w:eastAsia="Arial" w:hAnsi="Arial"/>
                <w:sz w:val="22"/>
                <w:szCs w:val="22"/>
                <w:color w:val="auto"/>
                <w:w w:val="93"/>
              </w:rPr>
              <w:t>Terms Generally</w:t>
            </w:r>
          </w:p>
        </w:tc>
        <w:tc>
          <w:tcPr>
            <w:tcW w:w="360" w:type="dxa"/>
            <w:vAlign w:val="bottom"/>
          </w:tcPr>
          <w:p>
            <w:pPr>
              <w:jc w:val="right"/>
              <w:spacing w:after="0" w:line="216" w:lineRule="exact"/>
              <w:rPr>
                <w:sz w:val="20"/>
                <w:szCs w:val="20"/>
                <w:color w:val="auto"/>
              </w:rPr>
            </w:pPr>
            <w:r>
              <w:rPr>
                <w:rFonts w:ascii="Arial" w:cs="Arial" w:eastAsia="Arial" w:hAnsi="Arial"/>
                <w:sz w:val="22"/>
                <w:szCs w:val="22"/>
                <w:color w:val="auto"/>
              </w:rPr>
              <w:t>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1.04</w:t>
            </w:r>
          </w:p>
        </w:tc>
        <w:tc>
          <w:tcPr>
            <w:tcW w:w="3700" w:type="dxa"/>
            <w:vAlign w:val="bottom"/>
            <w:gridSpan w:val="11"/>
          </w:tcPr>
          <w:p>
            <w:pPr>
              <w:ind w:left="100"/>
              <w:spacing w:after="0" w:line="216" w:lineRule="exact"/>
              <w:rPr>
                <w:sz w:val="20"/>
                <w:szCs w:val="20"/>
                <w:color w:val="auto"/>
              </w:rPr>
            </w:pPr>
            <w:r>
              <w:rPr>
                <w:rFonts w:ascii="Arial" w:cs="Arial" w:eastAsia="Arial" w:hAnsi="Arial"/>
                <w:sz w:val="22"/>
                <w:szCs w:val="22"/>
                <w:color w:val="auto"/>
              </w:rPr>
              <w:t>Accounting Terms; GAAP  49</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20" w:type="dxa"/>
            <w:vAlign w:val="bottom"/>
            <w:gridSpan w:val="2"/>
          </w:tcPr>
          <w:p>
            <w:pPr>
              <w:ind w:left="340"/>
              <w:spacing w:after="0" w:line="224" w:lineRule="exact"/>
              <w:rPr>
                <w:sz w:val="20"/>
                <w:szCs w:val="20"/>
                <w:color w:val="auto"/>
              </w:rPr>
            </w:pPr>
            <w:r>
              <w:rPr>
                <w:rFonts w:ascii="Arial" w:cs="Arial" w:eastAsia="Arial" w:hAnsi="Arial"/>
                <w:sz w:val="22"/>
                <w:szCs w:val="22"/>
                <w:color w:val="auto"/>
                <w:w w:val="94"/>
              </w:rPr>
              <w:t>Section 1.05</w:t>
            </w:r>
          </w:p>
        </w:tc>
        <w:tc>
          <w:tcPr>
            <w:tcW w:w="1400" w:type="dxa"/>
            <w:vAlign w:val="bottom"/>
            <w:gridSpan w:val="3"/>
          </w:tcPr>
          <w:p>
            <w:pPr>
              <w:ind w:left="100"/>
              <w:spacing w:after="0" w:line="224" w:lineRule="exact"/>
              <w:rPr>
                <w:sz w:val="20"/>
                <w:szCs w:val="20"/>
                <w:color w:val="auto"/>
              </w:rPr>
            </w:pPr>
            <w:r>
              <w:rPr>
                <w:rFonts w:ascii="Arial" w:cs="Arial" w:eastAsia="Arial" w:hAnsi="Arial"/>
                <w:sz w:val="22"/>
                <w:szCs w:val="22"/>
                <w:color w:val="auto"/>
                <w:w w:val="89"/>
              </w:rPr>
              <w:t>Interest Rates;</w:t>
            </w:r>
          </w:p>
        </w:tc>
        <w:tc>
          <w:tcPr>
            <w:tcW w:w="660" w:type="dxa"/>
            <w:vAlign w:val="bottom"/>
            <w:gridSpan w:val="4"/>
          </w:tcPr>
          <w:p>
            <w:pPr>
              <w:jc w:val="right"/>
              <w:spacing w:after="0" w:line="224" w:lineRule="exact"/>
              <w:rPr>
                <w:sz w:val="20"/>
                <w:szCs w:val="20"/>
                <w:color w:val="auto"/>
              </w:rPr>
            </w:pPr>
            <w:r>
              <w:rPr>
                <w:rFonts w:ascii="Arial" w:cs="Arial" w:eastAsia="Arial" w:hAnsi="Arial"/>
                <w:sz w:val="22"/>
                <w:szCs w:val="22"/>
                <w:color w:val="FF0000"/>
                <w:strike w:val="1"/>
                <w:w w:val="96"/>
              </w:rPr>
              <w:t>LIBOR</w:t>
            </w:r>
          </w:p>
        </w:tc>
        <w:tc>
          <w:tcPr>
            <w:tcW w:w="2280" w:type="dxa"/>
            <w:vAlign w:val="bottom"/>
            <w:gridSpan w:val="5"/>
          </w:tcPr>
          <w:p>
            <w:pPr>
              <w:spacing w:after="0" w:line="224" w:lineRule="exact"/>
              <w:rPr>
                <w:sz w:val="20"/>
                <w:szCs w:val="20"/>
                <w:color w:val="auto"/>
              </w:rPr>
            </w:pPr>
            <w:r>
              <w:rPr>
                <w:rFonts w:ascii="Arial" w:cs="Arial" w:eastAsia="Arial" w:hAnsi="Arial"/>
                <w:sz w:val="22"/>
                <w:szCs w:val="22"/>
                <w:color w:val="0000FF"/>
                <w:w w:val="99"/>
              </w:rPr>
              <w:t xml:space="preserve">Benchmark </w:t>
            </w:r>
            <w:r>
              <w:rPr>
                <w:rFonts w:ascii="Arial" w:cs="Arial" w:eastAsia="Arial" w:hAnsi="Arial"/>
                <w:sz w:val="22"/>
                <w:szCs w:val="22"/>
                <w:color w:val="000000"/>
                <w:w w:val="99"/>
              </w:rPr>
              <w:t>Notification</w:t>
            </w:r>
          </w:p>
        </w:tc>
        <w:tc>
          <w:tcPr>
            <w:tcW w:w="320" w:type="dxa"/>
            <w:vAlign w:val="bottom"/>
          </w:tcPr>
          <w:p>
            <w:pPr>
              <w:jc w:val="right"/>
              <w:spacing w:after="0" w:line="224" w:lineRule="exact"/>
              <w:rPr>
                <w:sz w:val="20"/>
                <w:szCs w:val="20"/>
                <w:color w:val="auto"/>
              </w:rPr>
            </w:pPr>
            <w:r>
              <w:rPr>
                <w:rFonts w:ascii="Arial" w:cs="Arial" w:eastAsia="Arial" w:hAnsi="Arial"/>
                <w:sz w:val="22"/>
                <w:szCs w:val="22"/>
                <w:color w:val="auto"/>
                <w:w w:val="89"/>
              </w:rPr>
              <w:t>50</w:t>
            </w: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ind w:left="340"/>
              <w:spacing w:after="0" w:line="188" w:lineRule="exact"/>
              <w:rPr>
                <w:sz w:val="20"/>
                <w:szCs w:val="20"/>
                <w:color w:val="auto"/>
              </w:rPr>
            </w:pPr>
            <w:r>
              <w:rPr>
                <w:rFonts w:ascii="Arial" w:cs="Arial" w:eastAsia="Arial" w:hAnsi="Arial"/>
                <w:sz w:val="21"/>
                <w:szCs w:val="21"/>
                <w:color w:val="auto"/>
                <w:w w:val="99"/>
              </w:rPr>
              <w:t>Section 1.06</w:t>
            </w:r>
          </w:p>
        </w:tc>
        <w:tc>
          <w:tcPr>
            <w:tcW w:w="1480" w:type="dxa"/>
            <w:vAlign w:val="bottom"/>
            <w:gridSpan w:val="4"/>
          </w:tcPr>
          <w:p>
            <w:pPr>
              <w:ind w:left="100"/>
              <w:spacing w:after="0" w:line="188" w:lineRule="exact"/>
              <w:rPr>
                <w:sz w:val="20"/>
                <w:szCs w:val="20"/>
                <w:color w:val="auto"/>
              </w:rPr>
            </w:pPr>
            <w:r>
              <w:rPr>
                <w:rFonts w:ascii="Arial" w:cs="Arial" w:eastAsia="Arial" w:hAnsi="Arial"/>
                <w:sz w:val="21"/>
                <w:szCs w:val="21"/>
                <w:color w:val="auto"/>
              </w:rPr>
              <w:t>Divisions  51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vMerge w:val="restart"/>
          </w:tcPr>
          <w:p>
            <w:pPr>
              <w:jc w:val="right"/>
              <w:spacing w:after="0"/>
              <w:rPr>
                <w:sz w:val="20"/>
                <w:szCs w:val="20"/>
                <w:color w:val="auto"/>
              </w:rPr>
            </w:pPr>
            <w:r>
              <w:rPr>
                <w:rFonts w:ascii="Arial" w:cs="Arial" w:eastAsia="Arial" w:hAnsi="Arial"/>
                <w:sz w:val="22"/>
                <w:szCs w:val="22"/>
                <w:color w:val="auto"/>
              </w:rPr>
              <w:t>51</w:t>
            </w:r>
          </w:p>
        </w:tc>
        <w:tc>
          <w:tcPr>
            <w:tcW w:w="30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1.07</w:t>
            </w:r>
          </w:p>
        </w:tc>
        <w:tc>
          <w:tcPr>
            <w:tcW w:w="230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91"/>
              </w:rPr>
              <w:t>Letter of Credit Amounts</w:t>
            </w:r>
          </w:p>
        </w:tc>
        <w:tc>
          <w:tcPr>
            <w:tcW w:w="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vMerge w:val="restart"/>
          </w:tcPr>
          <w:p>
            <w:pPr>
              <w:jc w:val="right"/>
              <w:ind w:right="312"/>
              <w:spacing w:after="0"/>
              <w:rPr>
                <w:sz w:val="20"/>
                <w:szCs w:val="20"/>
                <w:color w:val="auto"/>
              </w:rPr>
            </w:pPr>
            <w:r>
              <w:rPr>
                <w:rFonts w:ascii="Arial" w:cs="Arial" w:eastAsia="Arial" w:hAnsi="Arial"/>
                <w:sz w:val="22"/>
                <w:szCs w:val="22"/>
                <w:color w:val="auto"/>
                <w:w w:val="81"/>
              </w:rPr>
              <w:t>51</w:t>
            </w: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1.08</w:t>
            </w:r>
          </w:p>
        </w:tc>
        <w:tc>
          <w:tcPr>
            <w:tcW w:w="3700" w:type="dxa"/>
            <w:vAlign w:val="bottom"/>
            <w:gridSpan w:val="11"/>
          </w:tcPr>
          <w:p>
            <w:pPr>
              <w:ind w:left="100"/>
              <w:spacing w:after="0" w:line="216" w:lineRule="exact"/>
              <w:rPr>
                <w:sz w:val="20"/>
                <w:szCs w:val="20"/>
                <w:color w:val="auto"/>
              </w:rPr>
            </w:pPr>
            <w:r>
              <w:rPr>
                <w:rFonts w:ascii="Arial" w:cs="Arial" w:eastAsia="Arial" w:hAnsi="Arial"/>
                <w:sz w:val="22"/>
                <w:szCs w:val="22"/>
                <w:color w:val="auto"/>
                <w:w w:val="93"/>
              </w:rPr>
              <w:t>Exchange Rates; Currency Equivalents</w:t>
            </w:r>
          </w:p>
        </w:tc>
        <w:tc>
          <w:tcPr>
            <w:tcW w:w="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1.09</w:t>
            </w:r>
          </w:p>
        </w:tc>
        <w:tc>
          <w:tcPr>
            <w:tcW w:w="2740" w:type="dxa"/>
            <w:vAlign w:val="bottom"/>
            <w:gridSpan w:val="9"/>
          </w:tcPr>
          <w:p>
            <w:pPr>
              <w:ind w:left="100"/>
              <w:spacing w:after="0" w:line="216" w:lineRule="exact"/>
              <w:rPr>
                <w:sz w:val="20"/>
                <w:szCs w:val="20"/>
                <w:color w:val="auto"/>
              </w:rPr>
            </w:pPr>
            <w:r>
              <w:rPr>
                <w:rFonts w:ascii="Arial" w:cs="Arial" w:eastAsia="Arial" w:hAnsi="Arial"/>
                <w:sz w:val="22"/>
                <w:szCs w:val="22"/>
                <w:color w:val="auto"/>
                <w:w w:val="87"/>
              </w:rPr>
              <w:t>Certain Calculations and Tests</w:t>
            </w:r>
          </w:p>
        </w:tc>
        <w:tc>
          <w:tcPr>
            <w:tcW w:w="960" w:type="dxa"/>
            <w:vAlign w:val="bottom"/>
            <w:gridSpan w:val="2"/>
          </w:tcPr>
          <w:p>
            <w:pPr>
              <w:ind w:left="220"/>
              <w:spacing w:after="0" w:line="216" w:lineRule="exact"/>
              <w:rPr>
                <w:sz w:val="20"/>
                <w:szCs w:val="20"/>
                <w:color w:val="auto"/>
              </w:rPr>
            </w:pPr>
            <w:r>
              <w:rPr>
                <w:rFonts w:ascii="Arial" w:cs="Arial" w:eastAsia="Arial" w:hAnsi="Arial"/>
                <w:sz w:val="22"/>
                <w:szCs w:val="22"/>
                <w:color w:val="auto"/>
              </w:rPr>
              <w:t>52</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1.10</w:t>
            </w:r>
          </w:p>
        </w:tc>
        <w:tc>
          <w:tcPr>
            <w:tcW w:w="1640" w:type="dxa"/>
            <w:vAlign w:val="bottom"/>
            <w:gridSpan w:val="5"/>
          </w:tcPr>
          <w:p>
            <w:pPr>
              <w:ind w:left="100"/>
              <w:spacing w:after="0"/>
              <w:rPr>
                <w:sz w:val="20"/>
                <w:szCs w:val="20"/>
                <w:color w:val="auto"/>
              </w:rPr>
            </w:pPr>
            <w:r>
              <w:rPr>
                <w:rFonts w:ascii="Arial" w:cs="Arial" w:eastAsia="Arial" w:hAnsi="Arial"/>
                <w:sz w:val="22"/>
                <w:szCs w:val="22"/>
                <w:color w:val="auto"/>
                <w:w w:val="91"/>
              </w:rPr>
              <w:t>Australian Terms</w:t>
            </w:r>
          </w:p>
        </w:tc>
        <w:tc>
          <w:tcPr>
            <w:tcW w:w="42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2</w:t>
            </w:r>
          </w:p>
        </w:tc>
        <w:tc>
          <w:tcPr>
            <w:tcW w:w="1540" w:type="dxa"/>
            <w:vAlign w:val="bottom"/>
            <w:gridSpan w:val="3"/>
          </w:tcPr>
          <w:p>
            <w:pPr>
              <w:ind w:left="100"/>
              <w:spacing w:after="0"/>
              <w:rPr>
                <w:sz w:val="20"/>
                <w:szCs w:val="20"/>
                <w:color w:val="auto"/>
              </w:rPr>
            </w:pPr>
            <w:r>
              <w:rPr>
                <w:rFonts w:ascii="Arial" w:cs="Arial" w:eastAsia="Arial" w:hAnsi="Arial"/>
                <w:sz w:val="22"/>
                <w:szCs w:val="22"/>
                <w:color w:val="auto"/>
                <w:w w:val="96"/>
              </w:rPr>
              <w:t>THE CREDITS</w:t>
            </w:r>
          </w:p>
        </w:tc>
        <w:tc>
          <w:tcPr>
            <w:tcW w:w="440" w:type="dxa"/>
            <w:vAlign w:val="bottom"/>
            <w:gridSpan w:val="3"/>
          </w:tcPr>
          <w:p>
            <w:pPr>
              <w:jc w:val="right"/>
              <w:spacing w:after="0"/>
              <w:rPr>
                <w:sz w:val="20"/>
                <w:szCs w:val="20"/>
                <w:color w:val="auto"/>
              </w:rPr>
            </w:pPr>
            <w:r>
              <w:rPr>
                <w:rFonts w:ascii="Arial" w:cs="Arial" w:eastAsia="Arial" w:hAnsi="Arial"/>
                <w:sz w:val="22"/>
                <w:szCs w:val="22"/>
                <w:color w:val="auto"/>
              </w:rPr>
              <w:t>53</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2.01</w:t>
            </w:r>
          </w:p>
        </w:tc>
        <w:tc>
          <w:tcPr>
            <w:tcW w:w="1480" w:type="dxa"/>
            <w:vAlign w:val="bottom"/>
            <w:gridSpan w:val="4"/>
          </w:tcPr>
          <w:p>
            <w:pPr>
              <w:ind w:left="100"/>
              <w:spacing w:after="0"/>
              <w:rPr>
                <w:sz w:val="20"/>
                <w:szCs w:val="20"/>
                <w:color w:val="auto"/>
              </w:rPr>
            </w:pPr>
            <w:r>
              <w:rPr>
                <w:rFonts w:ascii="Arial" w:cs="Arial" w:eastAsia="Arial" w:hAnsi="Arial"/>
                <w:sz w:val="22"/>
                <w:szCs w:val="22"/>
                <w:color w:val="auto"/>
              </w:rPr>
              <w:t>Commitments</w:t>
            </w:r>
          </w:p>
        </w:tc>
        <w:tc>
          <w:tcPr>
            <w:tcW w:w="520" w:type="dxa"/>
            <w:vAlign w:val="bottom"/>
            <w:gridSpan w:val="2"/>
          </w:tcPr>
          <w:p>
            <w:pPr>
              <w:jc w:val="right"/>
              <w:ind w:right="132"/>
              <w:spacing w:after="0"/>
              <w:rPr>
                <w:sz w:val="20"/>
                <w:szCs w:val="20"/>
                <w:color w:val="auto"/>
              </w:rPr>
            </w:pPr>
            <w:r>
              <w:rPr>
                <w:rFonts w:ascii="Arial" w:cs="Arial" w:eastAsia="Arial" w:hAnsi="Arial"/>
                <w:sz w:val="22"/>
                <w:szCs w:val="22"/>
                <w:color w:val="auto"/>
              </w:rPr>
              <w:t>53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vMerge w:val="restart"/>
          </w:tcPr>
          <w:p>
            <w:pPr>
              <w:jc w:val="right"/>
              <w:ind w:right="132"/>
              <w:spacing w:after="0"/>
              <w:rPr>
                <w:sz w:val="20"/>
                <w:szCs w:val="20"/>
                <w:color w:val="auto"/>
              </w:rPr>
            </w:pPr>
            <w:r>
              <w:rPr>
                <w:rFonts w:ascii="Arial" w:cs="Arial" w:eastAsia="Arial" w:hAnsi="Arial"/>
                <w:sz w:val="22"/>
                <w:szCs w:val="22"/>
                <w:color w:val="auto"/>
                <w:w w:val="73"/>
              </w:rPr>
              <w:t>53</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2.02</w:t>
            </w:r>
          </w:p>
        </w:tc>
        <w:tc>
          <w:tcPr>
            <w:tcW w:w="230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99"/>
              </w:rPr>
              <w:t>Loans and Borrowings</w:t>
            </w:r>
          </w:p>
        </w:tc>
        <w:tc>
          <w:tcPr>
            <w:tcW w:w="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2.03</w:t>
            </w:r>
          </w:p>
        </w:tc>
        <w:tc>
          <w:tcPr>
            <w:tcW w:w="230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90"/>
              </w:rPr>
              <w:t>Requests for Borrowings</w:t>
            </w:r>
          </w:p>
        </w:tc>
        <w:tc>
          <w:tcPr>
            <w:tcW w:w="440" w:type="dxa"/>
            <w:vAlign w:val="bottom"/>
          </w:tcPr>
          <w:p>
            <w:pPr>
              <w:jc w:val="right"/>
              <w:spacing w:after="0" w:line="216" w:lineRule="exact"/>
              <w:rPr>
                <w:sz w:val="20"/>
                <w:szCs w:val="20"/>
                <w:color w:val="auto"/>
              </w:rPr>
            </w:pPr>
            <w:r>
              <w:rPr>
                <w:rFonts w:ascii="Arial" w:cs="Arial" w:eastAsia="Arial" w:hAnsi="Arial"/>
                <w:sz w:val="22"/>
                <w:szCs w:val="22"/>
                <w:color w:val="auto"/>
              </w:rPr>
              <w:t>54</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2.04</w:t>
            </w:r>
          </w:p>
        </w:tc>
        <w:tc>
          <w:tcPr>
            <w:tcW w:w="230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99"/>
              </w:rPr>
              <w:t>Funding of Borrowings</w:t>
            </w:r>
          </w:p>
        </w:tc>
        <w:tc>
          <w:tcPr>
            <w:tcW w:w="440" w:type="dxa"/>
            <w:vAlign w:val="bottom"/>
          </w:tcPr>
          <w:p>
            <w:pPr>
              <w:jc w:val="right"/>
              <w:ind w:right="72"/>
              <w:spacing w:after="0" w:line="216" w:lineRule="exact"/>
              <w:rPr>
                <w:sz w:val="20"/>
                <w:szCs w:val="20"/>
                <w:color w:val="auto"/>
              </w:rPr>
            </w:pPr>
            <w:r>
              <w:rPr>
                <w:rFonts w:ascii="Arial" w:cs="Arial" w:eastAsia="Arial" w:hAnsi="Arial"/>
                <w:sz w:val="22"/>
                <w:szCs w:val="22"/>
                <w:color w:val="auto"/>
                <w:w w:val="97"/>
              </w:rPr>
              <w:t>55</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2.05</w:t>
            </w:r>
          </w:p>
        </w:tc>
        <w:tc>
          <w:tcPr>
            <w:tcW w:w="1640" w:type="dxa"/>
            <w:vAlign w:val="bottom"/>
            <w:gridSpan w:val="5"/>
          </w:tcPr>
          <w:p>
            <w:pPr>
              <w:ind w:left="100"/>
              <w:spacing w:after="0" w:line="216" w:lineRule="exact"/>
              <w:rPr>
                <w:sz w:val="20"/>
                <w:szCs w:val="20"/>
                <w:color w:val="auto"/>
              </w:rPr>
            </w:pPr>
            <w:r>
              <w:rPr>
                <w:rFonts w:ascii="Arial" w:cs="Arial" w:eastAsia="Arial" w:hAnsi="Arial"/>
                <w:sz w:val="22"/>
                <w:szCs w:val="22"/>
                <w:color w:val="auto"/>
                <w:w w:val="90"/>
              </w:rPr>
              <w:t>Interest Elections</w:t>
            </w:r>
          </w:p>
        </w:tc>
        <w:tc>
          <w:tcPr>
            <w:tcW w:w="42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2.06</w:t>
            </w:r>
          </w:p>
        </w:tc>
        <w:tc>
          <w:tcPr>
            <w:tcW w:w="4660" w:type="dxa"/>
            <w:vAlign w:val="bottom"/>
            <w:gridSpan w:val="13"/>
          </w:tcPr>
          <w:p>
            <w:pPr>
              <w:ind w:left="100"/>
              <w:spacing w:after="0" w:line="216" w:lineRule="exact"/>
              <w:rPr>
                <w:sz w:val="20"/>
                <w:szCs w:val="20"/>
                <w:color w:val="auto"/>
              </w:rPr>
            </w:pPr>
            <w:r>
              <w:rPr>
                <w:rFonts w:ascii="Arial" w:cs="Arial" w:eastAsia="Arial" w:hAnsi="Arial"/>
                <w:sz w:val="22"/>
                <w:szCs w:val="22"/>
                <w:color w:val="auto"/>
                <w:w w:val="97"/>
              </w:rPr>
              <w:t>Termination and Reduction of Commitments  57</w:t>
            </w: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2.07</w:t>
            </w:r>
          </w:p>
        </w:tc>
        <w:tc>
          <w:tcPr>
            <w:tcW w:w="3700" w:type="dxa"/>
            <w:vAlign w:val="bottom"/>
            <w:gridSpan w:val="11"/>
          </w:tcPr>
          <w:p>
            <w:pPr>
              <w:ind w:left="100"/>
              <w:spacing w:after="0" w:line="216" w:lineRule="exact"/>
              <w:rPr>
                <w:sz w:val="20"/>
                <w:szCs w:val="20"/>
                <w:color w:val="auto"/>
              </w:rPr>
            </w:pPr>
            <w:r>
              <w:rPr>
                <w:rFonts w:ascii="Arial" w:cs="Arial" w:eastAsia="Arial" w:hAnsi="Arial"/>
                <w:sz w:val="22"/>
                <w:szCs w:val="22"/>
                <w:color w:val="auto"/>
                <w:w w:val="93"/>
              </w:rPr>
              <w:t>Repayment of Loans; Evidence of Debt</w:t>
            </w:r>
          </w:p>
        </w:tc>
        <w:tc>
          <w:tcPr>
            <w:tcW w:w="640" w:type="dxa"/>
            <w:vAlign w:val="bottom"/>
          </w:tcPr>
          <w:p>
            <w:pPr>
              <w:jc w:val="right"/>
              <w:ind w:right="272"/>
              <w:spacing w:after="0" w:line="216" w:lineRule="exact"/>
              <w:rPr>
                <w:sz w:val="20"/>
                <w:szCs w:val="20"/>
                <w:color w:val="auto"/>
              </w:rPr>
            </w:pPr>
            <w:r>
              <w:rPr>
                <w:rFonts w:ascii="Arial" w:cs="Arial" w:eastAsia="Arial" w:hAnsi="Arial"/>
                <w:sz w:val="22"/>
                <w:szCs w:val="22"/>
                <w:color w:val="auto"/>
                <w:w w:val="97"/>
              </w:rPr>
              <w:t>58</w:t>
            </w: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2.08</w:t>
            </w:r>
          </w:p>
        </w:tc>
        <w:tc>
          <w:tcPr>
            <w:tcW w:w="2000" w:type="dxa"/>
            <w:vAlign w:val="bottom"/>
            <w:gridSpan w:val="6"/>
          </w:tcPr>
          <w:p>
            <w:pPr>
              <w:ind w:left="100"/>
              <w:spacing w:after="0" w:line="216" w:lineRule="exact"/>
              <w:rPr>
                <w:sz w:val="20"/>
                <w:szCs w:val="20"/>
                <w:color w:val="auto"/>
              </w:rPr>
            </w:pPr>
            <w:r>
              <w:rPr>
                <w:rFonts w:ascii="Arial" w:cs="Arial" w:eastAsia="Arial" w:hAnsi="Arial"/>
                <w:sz w:val="22"/>
                <w:szCs w:val="22"/>
                <w:color w:val="auto"/>
                <w:w w:val="89"/>
              </w:rPr>
              <w:t>Prepayment of Loans</w:t>
            </w:r>
          </w:p>
        </w:tc>
        <w:tc>
          <w:tcPr>
            <w:tcW w:w="740" w:type="dxa"/>
            <w:vAlign w:val="bottom"/>
            <w:gridSpan w:val="3"/>
          </w:tcPr>
          <w:p>
            <w:pPr>
              <w:jc w:val="right"/>
              <w:ind w:right="252"/>
              <w:spacing w:after="0" w:line="216" w:lineRule="exact"/>
              <w:rPr>
                <w:sz w:val="20"/>
                <w:szCs w:val="20"/>
                <w:color w:val="auto"/>
              </w:rPr>
            </w:pPr>
            <w:r>
              <w:rPr>
                <w:rFonts w:ascii="Arial" w:cs="Arial" w:eastAsia="Arial" w:hAnsi="Arial"/>
                <w:sz w:val="22"/>
                <w:szCs w:val="22"/>
                <w:color w:val="auto"/>
              </w:rPr>
              <w:t>59</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2.09</w:t>
            </w:r>
          </w:p>
        </w:tc>
        <w:tc>
          <w:tcPr>
            <w:tcW w:w="120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Fees  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2.10</w:t>
            </w: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w w:val="92"/>
              </w:rPr>
              <w:t>Interest</w:t>
            </w:r>
          </w:p>
        </w:tc>
        <w:tc>
          <w:tcPr>
            <w:tcW w:w="400" w:type="dxa"/>
            <w:vAlign w:val="bottom"/>
          </w:tcPr>
          <w:p>
            <w:pPr>
              <w:jc w:val="right"/>
              <w:spacing w:after="0" w:line="216" w:lineRule="exact"/>
              <w:rPr>
                <w:sz w:val="20"/>
                <w:szCs w:val="20"/>
                <w:color w:val="auto"/>
              </w:rPr>
            </w:pPr>
            <w:r>
              <w:rPr>
                <w:rFonts w:ascii="Arial" w:cs="Arial" w:eastAsia="Arial" w:hAnsi="Arial"/>
                <w:sz w:val="22"/>
                <w:szCs w:val="22"/>
                <w:color w:val="auto"/>
              </w:rPr>
              <w:t>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61</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2.11</w:t>
            </w:r>
          </w:p>
        </w:tc>
        <w:tc>
          <w:tcPr>
            <w:tcW w:w="230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89"/>
              </w:rPr>
              <w:t>Alternate Rate of Interest</w:t>
            </w:r>
          </w:p>
        </w:tc>
        <w:tc>
          <w:tcPr>
            <w:tcW w:w="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2.12</w:t>
            </w:r>
          </w:p>
        </w:tc>
        <w:tc>
          <w:tcPr>
            <w:tcW w:w="148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85"/>
              </w:rPr>
              <w:t>Increased Costs</w:t>
            </w:r>
          </w:p>
        </w:tc>
        <w:tc>
          <w:tcPr>
            <w:tcW w:w="160" w:type="dxa"/>
            <w:vAlign w:val="bottom"/>
          </w:tcPr>
          <w:p>
            <w:pPr>
              <w:spacing w:after="0"/>
              <w:rPr>
                <w:sz w:val="18"/>
                <w:szCs w:val="18"/>
                <w:color w:val="auto"/>
              </w:rPr>
            </w:pPr>
          </w:p>
        </w:tc>
        <w:tc>
          <w:tcPr>
            <w:tcW w:w="360" w:type="dxa"/>
            <w:vAlign w:val="bottom"/>
          </w:tcPr>
          <w:p>
            <w:pPr>
              <w:jc w:val="right"/>
              <w:spacing w:after="0" w:line="216" w:lineRule="exact"/>
              <w:rPr>
                <w:sz w:val="20"/>
                <w:szCs w:val="20"/>
                <w:color w:val="auto"/>
              </w:rPr>
            </w:pPr>
            <w:r>
              <w:rPr>
                <w:rFonts w:ascii="Arial" w:cs="Arial" w:eastAsia="Arial" w:hAnsi="Arial"/>
                <w:sz w:val="22"/>
                <w:szCs w:val="22"/>
                <w:color w:val="auto"/>
                <w:w w:val="97"/>
              </w:rPr>
              <w:t>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66</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2.13</w:t>
            </w:r>
          </w:p>
        </w:tc>
        <w:tc>
          <w:tcPr>
            <w:tcW w:w="230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88"/>
              </w:rPr>
              <w:t>Break Funding Payments</w:t>
            </w:r>
          </w:p>
        </w:tc>
        <w:tc>
          <w:tcPr>
            <w:tcW w:w="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2.14</w:t>
            </w: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rPr>
              <w:t>Taxes</w:t>
            </w:r>
          </w:p>
        </w:tc>
        <w:tc>
          <w:tcPr>
            <w:tcW w:w="400" w:type="dxa"/>
            <w:vAlign w:val="bottom"/>
          </w:tcPr>
          <w:p>
            <w:pPr>
              <w:jc w:val="right"/>
              <w:ind w:right="52"/>
              <w:spacing w:after="0" w:line="216" w:lineRule="exact"/>
              <w:rPr>
                <w:sz w:val="20"/>
                <w:szCs w:val="20"/>
                <w:color w:val="auto"/>
              </w:rPr>
            </w:pPr>
            <w:r>
              <w:rPr>
                <w:rFonts w:ascii="Arial" w:cs="Arial" w:eastAsia="Arial" w:hAnsi="Arial"/>
                <w:sz w:val="22"/>
                <w:szCs w:val="22"/>
                <w:color w:val="auto"/>
                <w:w w:val="89"/>
              </w:rPr>
              <w:t>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2.15</w:t>
            </w:r>
          </w:p>
        </w:tc>
        <w:tc>
          <w:tcPr>
            <w:tcW w:w="9720" w:type="dxa"/>
            <w:vAlign w:val="bottom"/>
            <w:gridSpan w:val="14"/>
          </w:tcPr>
          <w:p>
            <w:pPr>
              <w:ind w:left="100"/>
              <w:spacing w:after="0" w:line="216" w:lineRule="exact"/>
              <w:rPr>
                <w:sz w:val="20"/>
                <w:szCs w:val="20"/>
                <w:color w:val="auto"/>
              </w:rPr>
            </w:pPr>
            <w:r>
              <w:rPr>
                <w:rFonts w:ascii="Arial" w:cs="Arial" w:eastAsia="Arial" w:hAnsi="Arial"/>
                <w:sz w:val="22"/>
                <w:szCs w:val="22"/>
                <w:color w:val="auto"/>
              </w:rPr>
              <w:t>Payments Generally; Pro Rata Treatment; Sharing of Set-offs  71</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2.16</w:t>
            </w:r>
          </w:p>
        </w:tc>
        <w:tc>
          <w:tcPr>
            <w:tcW w:w="4340" w:type="dxa"/>
            <w:vAlign w:val="bottom"/>
            <w:gridSpan w:val="12"/>
          </w:tcPr>
          <w:p>
            <w:pPr>
              <w:ind w:left="100"/>
              <w:spacing w:after="0" w:line="216" w:lineRule="exact"/>
              <w:rPr>
                <w:sz w:val="20"/>
                <w:szCs w:val="20"/>
                <w:color w:val="auto"/>
              </w:rPr>
            </w:pPr>
            <w:r>
              <w:rPr>
                <w:rFonts w:ascii="Arial" w:cs="Arial" w:eastAsia="Arial" w:hAnsi="Arial"/>
                <w:sz w:val="22"/>
                <w:szCs w:val="22"/>
                <w:color w:val="auto"/>
                <w:w w:val="91"/>
              </w:rPr>
              <w:t>Mitigation Obligations; Replacement of Lenders</w:t>
            </w:r>
          </w:p>
        </w:tc>
        <w:tc>
          <w:tcPr>
            <w:tcW w:w="5380" w:type="dxa"/>
            <w:vAlign w:val="bottom"/>
            <w:gridSpan w:val="2"/>
          </w:tcPr>
          <w:p>
            <w:pPr>
              <w:jc w:val="right"/>
              <w:ind w:right="4872"/>
              <w:spacing w:after="0" w:line="216"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2.17</w:t>
            </w:r>
          </w:p>
        </w:tc>
        <w:tc>
          <w:tcPr>
            <w:tcW w:w="3700" w:type="dxa"/>
            <w:vAlign w:val="bottom"/>
            <w:gridSpan w:val="11"/>
          </w:tcPr>
          <w:p>
            <w:pPr>
              <w:ind w:left="100"/>
              <w:spacing w:after="0" w:line="216" w:lineRule="exact"/>
              <w:rPr>
                <w:sz w:val="20"/>
                <w:szCs w:val="20"/>
                <w:color w:val="auto"/>
              </w:rPr>
            </w:pPr>
            <w:r>
              <w:rPr>
                <w:rFonts w:ascii="Arial" w:cs="Arial" w:eastAsia="Arial" w:hAnsi="Arial"/>
                <w:sz w:val="22"/>
                <w:szCs w:val="22"/>
                <w:color w:val="auto"/>
                <w:w w:val="90"/>
              </w:rPr>
              <w:t>Defaulting Lenders/Subordinated Lender</w:t>
            </w:r>
          </w:p>
        </w:tc>
        <w:tc>
          <w:tcPr>
            <w:tcW w:w="640" w:type="dxa"/>
            <w:vAlign w:val="bottom"/>
          </w:tcPr>
          <w:p>
            <w:pPr>
              <w:jc w:val="right"/>
              <w:ind w:right="132"/>
              <w:spacing w:after="0" w:line="216" w:lineRule="exact"/>
              <w:rPr>
                <w:sz w:val="20"/>
                <w:szCs w:val="20"/>
                <w:color w:val="auto"/>
              </w:rPr>
            </w:pPr>
            <w:r>
              <w:rPr>
                <w:rFonts w:ascii="Arial" w:cs="Arial" w:eastAsia="Arial" w:hAnsi="Arial"/>
                <w:sz w:val="22"/>
                <w:szCs w:val="22"/>
                <w:color w:val="auto"/>
              </w:rPr>
              <w:t>74</w:t>
            </w: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2.18</w:t>
            </w:r>
          </w:p>
        </w:tc>
        <w:tc>
          <w:tcPr>
            <w:tcW w:w="2000" w:type="dxa"/>
            <w:vAlign w:val="bottom"/>
            <w:gridSpan w:val="6"/>
          </w:tcPr>
          <w:p>
            <w:pPr>
              <w:ind w:left="100"/>
              <w:spacing w:after="0" w:line="216" w:lineRule="exact"/>
              <w:rPr>
                <w:sz w:val="20"/>
                <w:szCs w:val="20"/>
                <w:color w:val="auto"/>
              </w:rPr>
            </w:pPr>
            <w:r>
              <w:rPr>
                <w:rFonts w:ascii="Arial" w:cs="Arial" w:eastAsia="Arial" w:hAnsi="Arial"/>
                <w:sz w:val="22"/>
                <w:szCs w:val="22"/>
                <w:color w:val="auto"/>
                <w:w w:val="99"/>
              </w:rPr>
              <w:t>Incremental Facility</w:t>
            </w:r>
          </w:p>
        </w:tc>
        <w:tc>
          <w:tcPr>
            <w:tcW w:w="300" w:type="dxa"/>
            <w:vAlign w:val="bottom"/>
            <w:gridSpan w:val="2"/>
          </w:tcPr>
          <w:p>
            <w:pPr>
              <w:ind w:left="60"/>
              <w:spacing w:after="0" w:line="216" w:lineRule="exact"/>
              <w:rPr>
                <w:sz w:val="20"/>
                <w:szCs w:val="20"/>
                <w:color w:val="auto"/>
              </w:rPr>
            </w:pPr>
            <w:r>
              <w:rPr>
                <w:rFonts w:ascii="Arial" w:cs="Arial" w:eastAsia="Arial" w:hAnsi="Arial"/>
                <w:sz w:val="22"/>
                <w:szCs w:val="22"/>
                <w:color w:val="auto"/>
                <w:w w:val="89"/>
              </w:rPr>
              <w:t>77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2.19</w:t>
            </w:r>
          </w:p>
        </w:tc>
        <w:tc>
          <w:tcPr>
            <w:tcW w:w="1640" w:type="dxa"/>
            <w:vAlign w:val="bottom"/>
            <w:gridSpan w:val="5"/>
          </w:tcPr>
          <w:p>
            <w:pPr>
              <w:ind w:left="100"/>
              <w:spacing w:after="0" w:line="216" w:lineRule="exact"/>
              <w:rPr>
                <w:sz w:val="20"/>
                <w:szCs w:val="20"/>
                <w:color w:val="auto"/>
              </w:rPr>
            </w:pPr>
            <w:r>
              <w:rPr>
                <w:rFonts w:ascii="Arial" w:cs="Arial" w:eastAsia="Arial" w:hAnsi="Arial"/>
                <w:sz w:val="22"/>
                <w:szCs w:val="22"/>
                <w:color w:val="auto"/>
                <w:w w:val="97"/>
              </w:rPr>
              <w:t>Letters of Credit</w:t>
            </w:r>
          </w:p>
        </w:tc>
        <w:tc>
          <w:tcPr>
            <w:tcW w:w="360" w:type="dxa"/>
            <w:vAlign w:val="bottom"/>
          </w:tcPr>
          <w:p>
            <w:pPr>
              <w:jc w:val="right"/>
              <w:spacing w:after="0" w:line="216" w:lineRule="exact"/>
              <w:rPr>
                <w:sz w:val="20"/>
                <w:szCs w:val="20"/>
                <w:color w:val="auto"/>
              </w:rPr>
            </w:pPr>
            <w:r>
              <w:rPr>
                <w:rFonts w:ascii="Arial" w:cs="Arial" w:eastAsia="Arial" w:hAnsi="Arial"/>
                <w:sz w:val="22"/>
                <w:szCs w:val="22"/>
                <w:color w:val="auto"/>
              </w:rPr>
              <w:t>78</w:t>
            </w:r>
          </w:p>
        </w:tc>
        <w:tc>
          <w:tcPr>
            <w:tcW w:w="300" w:type="dxa"/>
            <w:vAlign w:val="bottom"/>
            <w:gridSpan w:val="2"/>
            <w:vMerge w:val="restart"/>
          </w:tcPr>
          <w:p>
            <w:pPr>
              <w:jc w:val="right"/>
              <w:spacing w:after="0"/>
              <w:rPr>
                <w:sz w:val="20"/>
                <w:szCs w:val="20"/>
                <w:color w:val="auto"/>
              </w:rPr>
            </w:pPr>
            <w:r>
              <w:rPr>
                <w:rFonts w:ascii="Arial" w:cs="Arial" w:eastAsia="Arial" w:hAnsi="Arial"/>
                <w:sz w:val="22"/>
                <w:szCs w:val="22"/>
                <w:color w:val="auto"/>
                <w:w w:val="89"/>
              </w:rPr>
              <w:t>83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2.20</w:t>
            </w:r>
          </w:p>
        </w:tc>
        <w:tc>
          <w:tcPr>
            <w:tcW w:w="2000" w:type="dxa"/>
            <w:vAlign w:val="bottom"/>
            <w:gridSpan w:val="6"/>
          </w:tcPr>
          <w:p>
            <w:pPr>
              <w:ind w:left="100"/>
              <w:spacing w:after="0"/>
              <w:rPr>
                <w:sz w:val="20"/>
                <w:szCs w:val="20"/>
                <w:color w:val="auto"/>
              </w:rPr>
            </w:pPr>
            <w:r>
              <w:rPr>
                <w:rFonts w:ascii="Arial" w:cs="Arial" w:eastAsia="Arial" w:hAnsi="Arial"/>
                <w:sz w:val="22"/>
                <w:szCs w:val="22"/>
                <w:color w:val="auto"/>
                <w:w w:val="97"/>
              </w:rPr>
              <w:t>Judgment Currency</w:t>
            </w:r>
          </w:p>
        </w:tc>
        <w:tc>
          <w:tcPr>
            <w:tcW w:w="30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3</w:t>
            </w:r>
          </w:p>
        </w:tc>
        <w:tc>
          <w:tcPr>
            <w:tcW w:w="4040" w:type="dxa"/>
            <w:vAlign w:val="bottom"/>
            <w:gridSpan w:val="12"/>
          </w:tcPr>
          <w:p>
            <w:pPr>
              <w:ind w:left="100"/>
              <w:spacing w:after="0"/>
              <w:rPr>
                <w:sz w:val="20"/>
                <w:szCs w:val="20"/>
                <w:color w:val="auto"/>
              </w:rPr>
            </w:pPr>
            <w:r>
              <w:rPr>
                <w:rFonts w:ascii="Arial" w:cs="Arial" w:eastAsia="Arial" w:hAnsi="Arial"/>
                <w:sz w:val="22"/>
                <w:szCs w:val="22"/>
                <w:color w:val="auto"/>
                <w:w w:val="92"/>
              </w:rPr>
              <w:t>REPRESENTATIONS AND WARRANTIES</w:t>
            </w:r>
          </w:p>
        </w:tc>
        <w:tc>
          <w:tcPr>
            <w:tcW w:w="640" w:type="dxa"/>
            <w:vAlign w:val="bottom"/>
          </w:tcPr>
          <w:p>
            <w:pPr>
              <w:jc w:val="right"/>
              <w:ind w:right="112"/>
              <w:spacing w:after="0"/>
              <w:rPr>
                <w:sz w:val="20"/>
                <w:szCs w:val="20"/>
                <w:color w:val="auto"/>
              </w:rPr>
            </w:pPr>
            <w:r>
              <w:rPr>
                <w:rFonts w:ascii="Arial" w:cs="Arial" w:eastAsia="Arial" w:hAnsi="Arial"/>
                <w:sz w:val="22"/>
                <w:szCs w:val="22"/>
                <w:color w:val="auto"/>
              </w:rPr>
              <w:t>84</w:t>
            </w:r>
          </w:p>
        </w:tc>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3.01</w:t>
            </w:r>
          </w:p>
        </w:tc>
        <w:tc>
          <w:tcPr>
            <w:tcW w:w="2000" w:type="dxa"/>
            <w:vAlign w:val="bottom"/>
            <w:gridSpan w:val="6"/>
          </w:tcPr>
          <w:p>
            <w:pPr>
              <w:ind w:left="100"/>
              <w:spacing w:after="0"/>
              <w:rPr>
                <w:sz w:val="20"/>
                <w:szCs w:val="20"/>
                <w:color w:val="auto"/>
              </w:rPr>
            </w:pPr>
            <w:r>
              <w:rPr>
                <w:rFonts w:ascii="Arial" w:cs="Arial" w:eastAsia="Arial" w:hAnsi="Arial"/>
                <w:sz w:val="22"/>
                <w:szCs w:val="22"/>
                <w:color w:val="auto"/>
                <w:w w:val="89"/>
              </w:rPr>
              <w:t>Organization; Powers</w:t>
            </w:r>
          </w:p>
        </w:tc>
        <w:tc>
          <w:tcPr>
            <w:tcW w:w="740" w:type="dxa"/>
            <w:vAlign w:val="bottom"/>
            <w:gridSpan w:val="3"/>
          </w:tcPr>
          <w:p>
            <w:pPr>
              <w:jc w:val="right"/>
              <w:ind w:right="212"/>
              <w:spacing w:after="0"/>
              <w:rPr>
                <w:sz w:val="20"/>
                <w:szCs w:val="20"/>
                <w:color w:val="auto"/>
              </w:rPr>
            </w:pPr>
            <w:r>
              <w:rPr>
                <w:rFonts w:ascii="Arial" w:cs="Arial" w:eastAsia="Arial" w:hAnsi="Arial"/>
                <w:sz w:val="22"/>
                <w:szCs w:val="22"/>
                <w:color w:val="auto"/>
              </w:rPr>
              <w:t>84</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22"/>
                <w:szCs w:val="22"/>
                <w:color w:val="auto"/>
              </w:rPr>
              <w:t>84</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3.02</w:t>
            </w:r>
          </w:p>
        </w:tc>
        <w:tc>
          <w:tcPr>
            <w:tcW w:w="2740" w:type="dxa"/>
            <w:vAlign w:val="bottom"/>
            <w:gridSpan w:val="9"/>
          </w:tcPr>
          <w:p>
            <w:pPr>
              <w:ind w:left="100"/>
              <w:spacing w:after="0" w:line="216" w:lineRule="exact"/>
              <w:rPr>
                <w:sz w:val="20"/>
                <w:szCs w:val="20"/>
                <w:color w:val="auto"/>
              </w:rPr>
            </w:pPr>
            <w:r>
              <w:rPr>
                <w:rFonts w:ascii="Arial" w:cs="Arial" w:eastAsia="Arial" w:hAnsi="Arial"/>
                <w:sz w:val="22"/>
                <w:szCs w:val="22"/>
                <w:color w:val="auto"/>
                <w:w w:val="96"/>
              </w:rPr>
              <w:t>Authorization; Enforceability</w:t>
            </w:r>
          </w:p>
        </w:tc>
        <w:tc>
          <w:tcPr>
            <w:tcW w:w="960" w:type="dxa"/>
            <w:vAlign w:val="bottom"/>
            <w:gridSpan w:val="2"/>
            <w:vMerge w:val="continue"/>
          </w:tcPr>
          <w:p>
            <w:pPr>
              <w:spacing w:after="0"/>
              <w:rPr>
                <w:sz w:val="18"/>
                <w:szCs w:val="18"/>
                <w:color w:val="auto"/>
              </w:rPr>
            </w:pPr>
          </w:p>
        </w:tc>
        <w:tc>
          <w:tcPr>
            <w:tcW w:w="640" w:type="dxa"/>
            <w:vAlign w:val="bottom"/>
            <w:vMerge w:val="restart"/>
          </w:tcPr>
          <w:p>
            <w:pPr>
              <w:jc w:val="right"/>
              <w:ind w:right="292"/>
              <w:spacing w:after="0"/>
              <w:rPr>
                <w:sz w:val="20"/>
                <w:szCs w:val="20"/>
                <w:color w:val="auto"/>
              </w:rPr>
            </w:pPr>
            <w:r>
              <w:rPr>
                <w:rFonts w:ascii="Arial" w:cs="Arial" w:eastAsia="Arial" w:hAnsi="Arial"/>
                <w:sz w:val="22"/>
                <w:szCs w:val="22"/>
                <w:color w:val="auto"/>
                <w:w w:val="89"/>
              </w:rPr>
              <w:t>84</w:t>
            </w: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3.03</w:t>
            </w:r>
          </w:p>
        </w:tc>
        <w:tc>
          <w:tcPr>
            <w:tcW w:w="3700" w:type="dxa"/>
            <w:vAlign w:val="bottom"/>
            <w:gridSpan w:val="11"/>
          </w:tcPr>
          <w:p>
            <w:pPr>
              <w:ind w:left="100"/>
              <w:spacing w:after="0" w:line="216" w:lineRule="exact"/>
              <w:rPr>
                <w:sz w:val="20"/>
                <w:szCs w:val="20"/>
                <w:color w:val="auto"/>
              </w:rPr>
            </w:pPr>
            <w:r>
              <w:rPr>
                <w:rFonts w:ascii="Arial" w:cs="Arial" w:eastAsia="Arial" w:hAnsi="Arial"/>
                <w:sz w:val="22"/>
                <w:szCs w:val="22"/>
                <w:color w:val="auto"/>
                <w:w w:val="95"/>
              </w:rPr>
              <w:t>Governmental Approvals; No Conflicts</w:t>
            </w:r>
          </w:p>
        </w:tc>
        <w:tc>
          <w:tcPr>
            <w:tcW w:w="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vMerge w:val="restart"/>
          </w:tcPr>
          <w:p>
            <w:pPr>
              <w:jc w:val="right"/>
              <w:ind w:right="4712"/>
              <w:spacing w:after="0"/>
              <w:rPr>
                <w:sz w:val="20"/>
                <w:szCs w:val="20"/>
                <w:color w:val="auto"/>
              </w:rPr>
            </w:pPr>
            <w:r>
              <w:rPr>
                <w:rFonts w:ascii="Arial" w:cs="Arial" w:eastAsia="Arial" w:hAnsi="Arial"/>
                <w:sz w:val="22"/>
                <w:szCs w:val="22"/>
                <w:color w:val="auto"/>
                <w:w w:val="89"/>
              </w:rPr>
              <w:t>85</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3.04</w:t>
            </w:r>
          </w:p>
        </w:tc>
        <w:tc>
          <w:tcPr>
            <w:tcW w:w="4660" w:type="dxa"/>
            <w:vAlign w:val="bottom"/>
            <w:gridSpan w:val="13"/>
          </w:tcPr>
          <w:p>
            <w:pPr>
              <w:ind w:left="100"/>
              <w:spacing w:after="0" w:line="216" w:lineRule="exact"/>
              <w:rPr>
                <w:sz w:val="20"/>
                <w:szCs w:val="20"/>
                <w:color w:val="auto"/>
              </w:rPr>
            </w:pPr>
            <w:r>
              <w:rPr>
                <w:rFonts w:ascii="Arial" w:cs="Arial" w:eastAsia="Arial" w:hAnsi="Arial"/>
                <w:sz w:val="22"/>
                <w:szCs w:val="22"/>
                <w:color w:val="auto"/>
                <w:w w:val="94"/>
              </w:rPr>
              <w:t>Financial Condition; No Material Adverse Change</w:t>
            </w:r>
          </w:p>
        </w:tc>
        <w:tc>
          <w:tcPr>
            <w:tcW w:w="5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3.05</w:t>
            </w:r>
          </w:p>
        </w:tc>
        <w:tc>
          <w:tcPr>
            <w:tcW w:w="120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Properties</w:t>
            </w:r>
          </w:p>
        </w:tc>
        <w:tc>
          <w:tcPr>
            <w:tcW w:w="280" w:type="dxa"/>
            <w:vAlign w:val="bottom"/>
            <w:gridSpan w:val="2"/>
          </w:tcPr>
          <w:p>
            <w:pPr>
              <w:jc w:val="right"/>
              <w:spacing w:after="0" w:line="216" w:lineRule="exact"/>
              <w:rPr>
                <w:sz w:val="20"/>
                <w:szCs w:val="20"/>
                <w:color w:val="auto"/>
              </w:rPr>
            </w:pPr>
            <w:r>
              <w:rPr>
                <w:rFonts w:ascii="Arial" w:cs="Arial" w:eastAsia="Arial" w:hAnsi="Arial"/>
                <w:sz w:val="22"/>
                <w:szCs w:val="22"/>
                <w:color w:val="auto"/>
                <w:w w:val="81"/>
              </w:rPr>
              <w:t>85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3.06</w:t>
            </w:r>
          </w:p>
        </w:tc>
        <w:tc>
          <w:tcPr>
            <w:tcW w:w="4340" w:type="dxa"/>
            <w:vAlign w:val="bottom"/>
            <w:gridSpan w:val="12"/>
          </w:tcPr>
          <w:p>
            <w:pPr>
              <w:ind w:left="100"/>
              <w:spacing w:after="0" w:line="216" w:lineRule="exact"/>
              <w:rPr>
                <w:sz w:val="20"/>
                <w:szCs w:val="20"/>
                <w:color w:val="auto"/>
              </w:rPr>
            </w:pPr>
            <w:r>
              <w:rPr>
                <w:rFonts w:ascii="Arial" w:cs="Arial" w:eastAsia="Arial" w:hAnsi="Arial"/>
                <w:sz w:val="22"/>
                <w:szCs w:val="22"/>
                <w:color w:val="auto"/>
              </w:rPr>
              <w:t>Litigation and Environmental Matters  85</w:t>
            </w:r>
          </w:p>
        </w:tc>
        <w:tc>
          <w:tcPr>
            <w:tcW w:w="320" w:type="dxa"/>
            <w:vAlign w:val="bottom"/>
          </w:tcPr>
          <w:p>
            <w:pPr>
              <w:spacing w:after="0"/>
              <w:rPr>
                <w:sz w:val="18"/>
                <w:szCs w:val="18"/>
                <w:color w:val="auto"/>
              </w:rPr>
            </w:pPr>
          </w:p>
        </w:tc>
        <w:tc>
          <w:tcPr>
            <w:tcW w:w="5060" w:type="dxa"/>
            <w:vAlign w:val="bottom"/>
            <w:vMerge w:val="restart"/>
          </w:tcPr>
          <w:p>
            <w:pPr>
              <w:jc w:val="right"/>
              <w:ind w:right="4532"/>
              <w:spacing w:after="0"/>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3.07</w:t>
            </w:r>
          </w:p>
        </w:tc>
        <w:tc>
          <w:tcPr>
            <w:tcW w:w="4660" w:type="dxa"/>
            <w:vAlign w:val="bottom"/>
            <w:gridSpan w:val="13"/>
          </w:tcPr>
          <w:p>
            <w:pPr>
              <w:ind w:left="100"/>
              <w:spacing w:after="0" w:line="216" w:lineRule="exact"/>
              <w:rPr>
                <w:sz w:val="20"/>
                <w:szCs w:val="20"/>
                <w:color w:val="auto"/>
              </w:rPr>
            </w:pPr>
            <w:r>
              <w:rPr>
                <w:rFonts w:ascii="Arial" w:cs="Arial" w:eastAsia="Arial" w:hAnsi="Arial"/>
                <w:sz w:val="22"/>
                <w:szCs w:val="22"/>
                <w:color w:val="auto"/>
                <w:w w:val="90"/>
              </w:rPr>
              <w:t>Compliance with Laws and Agreements; No Default</w:t>
            </w:r>
          </w:p>
        </w:tc>
        <w:tc>
          <w:tcPr>
            <w:tcW w:w="5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3.08</w:t>
            </w:r>
          </w:p>
        </w:tc>
        <w:tc>
          <w:tcPr>
            <w:tcW w:w="2740" w:type="dxa"/>
            <w:vAlign w:val="bottom"/>
            <w:gridSpan w:val="9"/>
          </w:tcPr>
          <w:p>
            <w:pPr>
              <w:ind w:left="100"/>
              <w:spacing w:after="0" w:line="216" w:lineRule="exact"/>
              <w:rPr>
                <w:sz w:val="20"/>
                <w:szCs w:val="20"/>
                <w:color w:val="auto"/>
              </w:rPr>
            </w:pPr>
            <w:r>
              <w:rPr>
                <w:rFonts w:ascii="Arial" w:cs="Arial" w:eastAsia="Arial" w:hAnsi="Arial"/>
                <w:sz w:val="22"/>
                <w:szCs w:val="22"/>
                <w:color w:val="auto"/>
                <w:w w:val="94"/>
              </w:rPr>
              <w:t>Investment Company Status</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9"/>
              </w:rPr>
              <w:t>86</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3.09</w:t>
            </w:r>
          </w:p>
        </w:tc>
        <w:tc>
          <w:tcPr>
            <w:tcW w:w="1480" w:type="dxa"/>
            <w:vAlign w:val="bottom"/>
            <w:gridSpan w:val="4"/>
          </w:tcPr>
          <w:p>
            <w:pPr>
              <w:ind w:left="100"/>
              <w:spacing w:after="0" w:line="216" w:lineRule="exact"/>
              <w:rPr>
                <w:sz w:val="20"/>
                <w:szCs w:val="20"/>
                <w:color w:val="auto"/>
              </w:rPr>
            </w:pPr>
            <w:r>
              <w:rPr>
                <w:rFonts w:ascii="Arial" w:cs="Arial" w:eastAsia="Arial" w:hAnsi="Arial"/>
                <w:sz w:val="22"/>
                <w:szCs w:val="22"/>
                <w:color w:val="auto"/>
              </w:rPr>
              <w:t>Margin Stock</w:t>
            </w:r>
          </w:p>
        </w:tc>
        <w:tc>
          <w:tcPr>
            <w:tcW w:w="520" w:type="dxa"/>
            <w:vAlign w:val="bottom"/>
            <w:gridSpan w:val="2"/>
          </w:tcPr>
          <w:p>
            <w:pPr>
              <w:jc w:val="right"/>
              <w:ind w:right="172"/>
              <w:spacing w:after="0" w:line="216" w:lineRule="exact"/>
              <w:rPr>
                <w:sz w:val="20"/>
                <w:szCs w:val="20"/>
                <w:color w:val="auto"/>
              </w:rPr>
            </w:pPr>
            <w:r>
              <w:rPr>
                <w:rFonts w:ascii="Arial" w:cs="Arial" w:eastAsia="Arial" w:hAnsi="Arial"/>
                <w:sz w:val="22"/>
                <w:szCs w:val="22"/>
                <w:color w:val="auto"/>
                <w:w w:val="89"/>
              </w:rPr>
              <w:t>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3.10</w:t>
            </w: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rPr>
              <w:t>Taxes</w:t>
            </w:r>
          </w:p>
        </w:tc>
        <w:tc>
          <w:tcPr>
            <w:tcW w:w="400" w:type="dxa"/>
            <w:vAlign w:val="bottom"/>
          </w:tcPr>
          <w:p>
            <w:pPr>
              <w:jc w:val="right"/>
              <w:ind w:right="52"/>
              <w:spacing w:after="0" w:line="216" w:lineRule="exact"/>
              <w:rPr>
                <w:sz w:val="20"/>
                <w:szCs w:val="20"/>
                <w:color w:val="auto"/>
              </w:rPr>
            </w:pPr>
            <w:r>
              <w:rPr>
                <w:rFonts w:ascii="Arial" w:cs="Arial" w:eastAsia="Arial" w:hAnsi="Arial"/>
                <w:sz w:val="22"/>
                <w:szCs w:val="22"/>
                <w:color w:val="auto"/>
                <w:w w:val="89"/>
              </w:rPr>
              <w:t>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3.11</w:t>
            </w: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rPr>
              <w:t>ERISA</w:t>
            </w:r>
          </w:p>
        </w:tc>
        <w:tc>
          <w:tcPr>
            <w:tcW w:w="400" w:type="dxa"/>
            <w:vAlign w:val="bottom"/>
          </w:tcPr>
          <w:p>
            <w:pPr>
              <w:jc w:val="right"/>
              <w:spacing w:after="0" w:line="216" w:lineRule="exact"/>
              <w:rPr>
                <w:sz w:val="20"/>
                <w:szCs w:val="20"/>
                <w:color w:val="auto"/>
              </w:rPr>
            </w:pPr>
            <w:r>
              <w:rPr>
                <w:rFonts w:ascii="Arial" w:cs="Arial" w:eastAsia="Arial" w:hAnsi="Arial"/>
                <w:sz w:val="22"/>
                <w:szCs w:val="22"/>
                <w:color w:val="auto"/>
              </w:rPr>
              <w:t>86</w:t>
            </w:r>
          </w:p>
        </w:tc>
        <w:tc>
          <w:tcPr>
            <w:tcW w:w="280" w:type="dxa"/>
            <w:vAlign w:val="bottom"/>
            <w:gridSpan w:val="2"/>
            <w:vMerge w:val="restart"/>
          </w:tcPr>
          <w:p>
            <w:pPr>
              <w:jc w:val="right"/>
              <w:spacing w:after="0"/>
              <w:rPr>
                <w:sz w:val="20"/>
                <w:szCs w:val="20"/>
                <w:color w:val="auto"/>
              </w:rPr>
            </w:pPr>
            <w:r>
              <w:rPr>
                <w:rFonts w:ascii="Arial" w:cs="Arial" w:eastAsia="Arial" w:hAnsi="Arial"/>
                <w:sz w:val="22"/>
                <w:szCs w:val="22"/>
                <w:color w:val="auto"/>
                <w:w w:val="97"/>
              </w:rPr>
              <w:t>88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3.12</w:t>
            </w:r>
          </w:p>
        </w:tc>
        <w:tc>
          <w:tcPr>
            <w:tcW w:w="120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Disclosure</w:t>
            </w:r>
          </w:p>
        </w:tc>
        <w:tc>
          <w:tcPr>
            <w:tcW w:w="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3.13</w:t>
            </w:r>
          </w:p>
        </w:tc>
        <w:tc>
          <w:tcPr>
            <w:tcW w:w="1200" w:type="dxa"/>
            <w:vAlign w:val="bottom"/>
            <w:gridSpan w:val="2"/>
          </w:tcPr>
          <w:p>
            <w:pPr>
              <w:ind w:left="100"/>
              <w:spacing w:after="0"/>
              <w:rPr>
                <w:sz w:val="20"/>
                <w:szCs w:val="20"/>
                <w:color w:val="auto"/>
              </w:rPr>
            </w:pPr>
            <w:r>
              <w:rPr>
                <w:rFonts w:ascii="Arial" w:cs="Arial" w:eastAsia="Arial" w:hAnsi="Arial"/>
                <w:sz w:val="22"/>
                <w:szCs w:val="22"/>
                <w:color w:val="auto"/>
                <w:w w:val="90"/>
              </w:rPr>
              <w:t>Subsidiaries</w:t>
            </w:r>
          </w:p>
        </w:tc>
        <w:tc>
          <w:tcPr>
            <w:tcW w:w="440" w:type="dxa"/>
            <w:vAlign w:val="bottom"/>
            <w:gridSpan w:val="3"/>
          </w:tcPr>
          <w:p>
            <w:pPr>
              <w:jc w:val="right"/>
              <w:spacing w:after="0"/>
              <w:rPr>
                <w:sz w:val="20"/>
                <w:szCs w:val="20"/>
                <w:color w:val="auto"/>
              </w:rPr>
            </w:pPr>
            <w:r>
              <w:rPr>
                <w:rFonts w:ascii="Arial" w:cs="Arial" w:eastAsia="Arial" w:hAnsi="Arial"/>
                <w:sz w:val="22"/>
                <w:szCs w:val="22"/>
                <w:color w:val="auto"/>
              </w:rPr>
              <w:t>88</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395"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FF0000"/>
          <w:strike w:val="1"/>
        </w:rPr>
        <w:t>WEIL:\99030905\1\64101.0067</w:t>
      </w:r>
      <w:r>
        <w:rPr>
          <w:rFonts w:ascii="Arial" w:cs="Arial" w:eastAsia="Arial" w:hAnsi="Arial"/>
          <w:sz w:val="12"/>
          <w:szCs w:val="12"/>
          <w:u w:val="single" w:color="auto"/>
          <w:color w:val="0000FF"/>
          <w:strike w:val="1"/>
        </w:rPr>
        <w:t>WEIL:\99030905\8\64101.0067</w:t>
      </w:r>
    </w:p>
    <w:p>
      <w:pPr>
        <w:sectPr>
          <w:pgSz w:w="11900" w:h="16838" w:orient="portrait"/>
          <w:cols w:equalWidth="0" w:num="1">
            <w:col w:w="11240"/>
          </w:cols>
          <w:pgMar w:left="320" w:top="1395" w:right="3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53"/>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3.14</w:t>
            </w:r>
          </w:p>
        </w:tc>
        <w:tc>
          <w:tcPr>
            <w:tcW w:w="1120" w:type="dxa"/>
            <w:vAlign w:val="bottom"/>
          </w:tcPr>
          <w:p>
            <w:pPr>
              <w:ind w:left="100"/>
              <w:spacing w:after="0"/>
              <w:rPr>
                <w:sz w:val="20"/>
                <w:szCs w:val="20"/>
                <w:color w:val="auto"/>
              </w:rPr>
            </w:pPr>
            <w:r>
              <w:rPr>
                <w:rFonts w:ascii="Arial" w:cs="Arial" w:eastAsia="Arial" w:hAnsi="Arial"/>
                <w:sz w:val="22"/>
                <w:szCs w:val="22"/>
                <w:color w:val="auto"/>
              </w:rPr>
              <w:t>Solvency</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88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vMerge w:val="restart"/>
          </w:tcPr>
          <w:p>
            <w:pPr>
              <w:jc w:val="right"/>
              <w:spacing w:after="0"/>
              <w:rPr>
                <w:sz w:val="20"/>
                <w:szCs w:val="20"/>
                <w:color w:val="auto"/>
              </w:rPr>
            </w:pPr>
            <w:r>
              <w:rPr>
                <w:rFonts w:ascii="Arial" w:cs="Arial" w:eastAsia="Arial" w:hAnsi="Arial"/>
                <w:sz w:val="22"/>
                <w:szCs w:val="22"/>
                <w:color w:val="auto"/>
                <w:w w:val="81"/>
              </w:rPr>
              <w:t>89</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3.15</w:t>
            </w:r>
          </w:p>
        </w:tc>
        <w:tc>
          <w:tcPr>
            <w:tcW w:w="188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94"/>
              </w:rPr>
              <w:t>Anti-Terrorism Law</w:t>
            </w:r>
          </w:p>
        </w:tc>
        <w:tc>
          <w:tcPr>
            <w:tcW w:w="1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vMerge w:val="restart"/>
          </w:tcPr>
          <w:p>
            <w:pPr>
              <w:jc w:val="right"/>
              <w:ind w:right="1632"/>
              <w:spacing w:after="0"/>
              <w:rPr>
                <w:sz w:val="20"/>
                <w:szCs w:val="20"/>
                <w:color w:val="auto"/>
              </w:rPr>
            </w:pPr>
            <w:r>
              <w:rPr>
                <w:rFonts w:ascii="Arial" w:cs="Arial" w:eastAsia="Arial" w:hAnsi="Arial"/>
                <w:sz w:val="22"/>
                <w:szCs w:val="22"/>
                <w:color w:val="auto"/>
                <w:w w:val="97"/>
              </w:rPr>
              <w:t>89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3.16</w:t>
            </w:r>
          </w:p>
        </w:tc>
        <w:tc>
          <w:tcPr>
            <w:tcW w:w="3460" w:type="dxa"/>
            <w:vAlign w:val="bottom"/>
            <w:gridSpan w:val="9"/>
          </w:tcPr>
          <w:p>
            <w:pPr>
              <w:ind w:left="100"/>
              <w:spacing w:after="0" w:line="216" w:lineRule="exact"/>
              <w:rPr>
                <w:sz w:val="20"/>
                <w:szCs w:val="20"/>
                <w:color w:val="auto"/>
              </w:rPr>
            </w:pPr>
            <w:r>
              <w:rPr>
                <w:rFonts w:ascii="Arial" w:cs="Arial" w:eastAsia="Arial" w:hAnsi="Arial"/>
                <w:sz w:val="22"/>
                <w:szCs w:val="22"/>
                <w:color w:val="auto"/>
                <w:w w:val="95"/>
              </w:rPr>
              <w:t>Anti-Corruption Laws and Sanctions</w:t>
            </w:r>
          </w:p>
        </w:tc>
        <w:tc>
          <w:tcPr>
            <w:tcW w:w="20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3.17</w:t>
            </w:r>
          </w:p>
        </w:tc>
        <w:tc>
          <w:tcPr>
            <w:tcW w:w="188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89"/>
              </w:rPr>
              <w:t>Security Documents</w:t>
            </w:r>
          </w:p>
        </w:tc>
        <w:tc>
          <w:tcPr>
            <w:tcW w:w="180" w:type="dxa"/>
            <w:vAlign w:val="bottom"/>
          </w:tcPr>
          <w:p>
            <w:pPr>
              <w:spacing w:after="0"/>
              <w:rPr>
                <w:sz w:val="18"/>
                <w:szCs w:val="18"/>
                <w:color w:val="auto"/>
              </w:rPr>
            </w:pPr>
          </w:p>
        </w:tc>
        <w:tc>
          <w:tcPr>
            <w:tcW w:w="260" w:type="dxa"/>
            <w:vAlign w:val="bottom"/>
          </w:tcPr>
          <w:p>
            <w:pPr>
              <w:ind w:left="20"/>
              <w:spacing w:after="0" w:line="216" w:lineRule="exact"/>
              <w:rPr>
                <w:sz w:val="20"/>
                <w:szCs w:val="20"/>
                <w:color w:val="auto"/>
              </w:rPr>
            </w:pPr>
            <w:r>
              <w:rPr>
                <w:rFonts w:ascii="Arial" w:cs="Arial" w:eastAsia="Arial" w:hAnsi="Arial"/>
                <w:sz w:val="22"/>
                <w:szCs w:val="22"/>
                <w:color w:val="auto"/>
                <w:w w:val="89"/>
              </w:rPr>
              <w:t>90</w:t>
            </w:r>
          </w:p>
        </w:tc>
        <w:tc>
          <w:tcPr>
            <w:tcW w:w="280" w:type="dxa"/>
            <w:vAlign w:val="bottom"/>
          </w:tcPr>
          <w:p>
            <w:pPr>
              <w:spacing w:after="0"/>
              <w:rPr>
                <w:sz w:val="18"/>
                <w:szCs w:val="18"/>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22"/>
                <w:szCs w:val="22"/>
                <w:color w:val="auto"/>
              </w:rPr>
              <w:t>90</w:t>
            </w: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3.18</w:t>
            </w:r>
          </w:p>
        </w:tc>
        <w:tc>
          <w:tcPr>
            <w:tcW w:w="2600" w:type="dxa"/>
            <w:vAlign w:val="bottom"/>
            <w:gridSpan w:val="7"/>
          </w:tcPr>
          <w:p>
            <w:pPr>
              <w:ind w:left="100"/>
              <w:spacing w:after="0"/>
              <w:rPr>
                <w:sz w:val="20"/>
                <w:szCs w:val="20"/>
                <w:color w:val="auto"/>
              </w:rPr>
            </w:pPr>
            <w:r>
              <w:rPr>
                <w:rFonts w:ascii="Arial" w:cs="Arial" w:eastAsia="Arial" w:hAnsi="Arial"/>
                <w:sz w:val="22"/>
                <w:szCs w:val="22"/>
                <w:color w:val="auto"/>
                <w:w w:val="93"/>
              </w:rPr>
              <w:t>Australian Representations</w:t>
            </w:r>
          </w:p>
        </w:tc>
        <w:tc>
          <w:tcPr>
            <w:tcW w:w="44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4</w:t>
            </w:r>
          </w:p>
        </w:tc>
        <w:tc>
          <w:tcPr>
            <w:tcW w:w="1460" w:type="dxa"/>
            <w:vAlign w:val="bottom"/>
            <w:gridSpan w:val="2"/>
          </w:tcPr>
          <w:p>
            <w:pPr>
              <w:ind w:left="100"/>
              <w:spacing w:after="0"/>
              <w:rPr>
                <w:sz w:val="20"/>
                <w:szCs w:val="20"/>
                <w:color w:val="auto"/>
              </w:rPr>
            </w:pPr>
            <w:r>
              <w:rPr>
                <w:rFonts w:ascii="Arial" w:cs="Arial" w:eastAsia="Arial" w:hAnsi="Arial"/>
                <w:sz w:val="22"/>
                <w:szCs w:val="22"/>
                <w:color w:val="auto"/>
                <w:w w:val="96"/>
              </w:rPr>
              <w:t>CONDITIONS</w:t>
            </w:r>
          </w:p>
        </w:tc>
        <w:tc>
          <w:tcPr>
            <w:tcW w:w="600" w:type="dxa"/>
            <w:vAlign w:val="bottom"/>
            <w:gridSpan w:val="2"/>
          </w:tcPr>
          <w:p>
            <w:pPr>
              <w:ind w:left="180"/>
              <w:spacing w:after="0"/>
              <w:rPr>
                <w:sz w:val="20"/>
                <w:szCs w:val="20"/>
                <w:color w:val="auto"/>
              </w:rPr>
            </w:pPr>
            <w:r>
              <w:rPr>
                <w:rFonts w:ascii="Arial" w:cs="Arial" w:eastAsia="Arial" w:hAnsi="Arial"/>
                <w:sz w:val="22"/>
                <w:szCs w:val="22"/>
                <w:color w:val="auto"/>
              </w:rPr>
              <w:t>91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4.01</w:t>
            </w:r>
          </w:p>
        </w:tc>
        <w:tc>
          <w:tcPr>
            <w:tcW w:w="1400" w:type="dxa"/>
            <w:vAlign w:val="bottom"/>
            <w:gridSpan w:val="2"/>
          </w:tcPr>
          <w:p>
            <w:pPr>
              <w:ind w:left="100"/>
              <w:spacing w:after="0"/>
              <w:rPr>
                <w:sz w:val="20"/>
                <w:szCs w:val="20"/>
                <w:color w:val="auto"/>
              </w:rPr>
            </w:pPr>
            <w:r>
              <w:rPr>
                <w:rFonts w:ascii="Arial" w:cs="Arial" w:eastAsia="Arial" w:hAnsi="Arial"/>
                <w:sz w:val="22"/>
                <w:szCs w:val="22"/>
                <w:color w:val="auto"/>
                <w:w w:val="93"/>
              </w:rPr>
              <w:t>Effective Date</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91</w:t>
            </w:r>
          </w:p>
        </w:tc>
        <w:tc>
          <w:tcPr>
            <w:tcW w:w="440" w:type="dxa"/>
            <w:vAlign w:val="bottom"/>
            <w:gridSpan w:val="2"/>
            <w:vMerge w:val="restart"/>
          </w:tcPr>
          <w:p>
            <w:pPr>
              <w:ind w:left="20"/>
              <w:spacing w:after="0"/>
              <w:rPr>
                <w:sz w:val="20"/>
                <w:szCs w:val="20"/>
                <w:color w:val="auto"/>
              </w:rPr>
            </w:pPr>
            <w:r>
              <w:rPr>
                <w:rFonts w:ascii="Arial" w:cs="Arial" w:eastAsia="Arial" w:hAnsi="Arial"/>
                <w:sz w:val="22"/>
                <w:szCs w:val="22"/>
                <w:color w:val="auto"/>
              </w:rPr>
              <w:t>93</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4.02</w:t>
            </w:r>
          </w:p>
        </w:tc>
        <w:tc>
          <w:tcPr>
            <w:tcW w:w="1720" w:type="dxa"/>
            <w:vAlign w:val="bottom"/>
            <w:gridSpan w:val="3"/>
          </w:tcPr>
          <w:p>
            <w:pPr>
              <w:ind w:left="100"/>
              <w:spacing w:after="0"/>
              <w:rPr>
                <w:sz w:val="20"/>
                <w:szCs w:val="20"/>
                <w:color w:val="auto"/>
              </w:rPr>
            </w:pPr>
            <w:r>
              <w:rPr>
                <w:rFonts w:ascii="Arial" w:cs="Arial" w:eastAsia="Arial" w:hAnsi="Arial"/>
                <w:sz w:val="22"/>
                <w:szCs w:val="22"/>
                <w:color w:val="auto"/>
                <w:w w:val="90"/>
              </w:rPr>
              <w:t>Each Credit Event</w:t>
            </w:r>
          </w:p>
        </w:tc>
        <w:tc>
          <w:tcPr>
            <w:tcW w:w="160" w:type="dxa"/>
            <w:vAlign w:val="bottom"/>
          </w:tcPr>
          <w:p>
            <w:pPr>
              <w:spacing w:after="0"/>
              <w:rPr>
                <w:sz w:val="23"/>
                <w:szCs w:val="23"/>
                <w:color w:val="auto"/>
              </w:rPr>
            </w:pPr>
          </w:p>
        </w:tc>
        <w:tc>
          <w:tcPr>
            <w:tcW w:w="440" w:type="dxa"/>
            <w:vAlign w:val="bottom"/>
            <w:gridSpan w:val="2"/>
            <w:vMerge w:val="continue"/>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5</w:t>
            </w:r>
          </w:p>
        </w:tc>
        <w:tc>
          <w:tcPr>
            <w:tcW w:w="2940" w:type="dxa"/>
            <w:vAlign w:val="bottom"/>
            <w:gridSpan w:val="8"/>
          </w:tcPr>
          <w:p>
            <w:pPr>
              <w:ind w:left="100"/>
              <w:spacing w:after="0"/>
              <w:rPr>
                <w:sz w:val="20"/>
                <w:szCs w:val="20"/>
                <w:color w:val="auto"/>
              </w:rPr>
            </w:pPr>
            <w:r>
              <w:rPr>
                <w:rFonts w:ascii="Arial" w:cs="Arial" w:eastAsia="Arial" w:hAnsi="Arial"/>
                <w:sz w:val="22"/>
                <w:szCs w:val="22"/>
                <w:color w:val="auto"/>
                <w:w w:val="97"/>
              </w:rPr>
              <w:t>AFFIRMATIVE COVENANTS</w:t>
            </w:r>
          </w:p>
        </w:tc>
        <w:tc>
          <w:tcPr>
            <w:tcW w:w="440" w:type="dxa"/>
            <w:vAlign w:val="bottom"/>
          </w:tcPr>
          <w:p>
            <w:pPr>
              <w:jc w:val="right"/>
              <w:spacing w:after="0"/>
              <w:rPr>
                <w:sz w:val="20"/>
                <w:szCs w:val="20"/>
                <w:color w:val="auto"/>
              </w:rPr>
            </w:pPr>
            <w:r>
              <w:rPr>
                <w:rFonts w:ascii="Arial" w:cs="Arial" w:eastAsia="Arial" w:hAnsi="Arial"/>
                <w:sz w:val="22"/>
                <w:szCs w:val="22"/>
                <w:color w:val="auto"/>
              </w:rPr>
              <w:t>94</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5.01</w:t>
            </w:r>
          </w:p>
        </w:tc>
        <w:tc>
          <w:tcPr>
            <w:tcW w:w="5460" w:type="dxa"/>
            <w:vAlign w:val="bottom"/>
            <w:gridSpan w:val="10"/>
          </w:tcPr>
          <w:p>
            <w:pPr>
              <w:ind w:left="100"/>
              <w:spacing w:after="0"/>
              <w:rPr>
                <w:sz w:val="20"/>
                <w:szCs w:val="20"/>
                <w:color w:val="auto"/>
              </w:rPr>
            </w:pPr>
            <w:r>
              <w:rPr>
                <w:rFonts w:ascii="Arial" w:cs="Arial" w:eastAsia="Arial" w:hAnsi="Arial"/>
                <w:sz w:val="22"/>
                <w:szCs w:val="22"/>
                <w:color w:val="auto"/>
                <w:w w:val="89"/>
              </w:rPr>
              <w:t>Financial Statements; Ratings Change and Other Information</w:t>
            </w:r>
          </w:p>
        </w:tc>
        <w:tc>
          <w:tcPr>
            <w:tcW w:w="1380" w:type="dxa"/>
            <w:vAlign w:val="bottom"/>
          </w:tcPr>
          <w:p>
            <w:pPr>
              <w:jc w:val="right"/>
              <w:ind w:right="892"/>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5.02</w:t>
            </w:r>
          </w:p>
        </w:tc>
        <w:tc>
          <w:tcPr>
            <w:tcW w:w="2600" w:type="dxa"/>
            <w:vAlign w:val="bottom"/>
            <w:gridSpan w:val="7"/>
          </w:tcPr>
          <w:p>
            <w:pPr>
              <w:ind w:left="100"/>
              <w:spacing w:after="0" w:line="216" w:lineRule="exact"/>
              <w:rPr>
                <w:sz w:val="20"/>
                <w:szCs w:val="20"/>
                <w:color w:val="auto"/>
              </w:rPr>
            </w:pPr>
            <w:r>
              <w:rPr>
                <w:rFonts w:ascii="Arial" w:cs="Arial" w:eastAsia="Arial" w:hAnsi="Arial"/>
                <w:sz w:val="22"/>
                <w:szCs w:val="22"/>
                <w:color w:val="auto"/>
                <w:w w:val="97"/>
              </w:rPr>
              <w:t>Notices of Material Events</w:t>
            </w:r>
          </w:p>
        </w:tc>
        <w:tc>
          <w:tcPr>
            <w:tcW w:w="440" w:type="dxa"/>
            <w:vAlign w:val="bottom"/>
          </w:tcPr>
          <w:p>
            <w:pPr>
              <w:jc w:val="right"/>
              <w:ind w:right="72"/>
              <w:spacing w:after="0" w:line="216" w:lineRule="exact"/>
              <w:rPr>
                <w:sz w:val="20"/>
                <w:szCs w:val="20"/>
                <w:color w:val="auto"/>
              </w:rPr>
            </w:pPr>
            <w:r>
              <w:rPr>
                <w:rFonts w:ascii="Arial" w:cs="Arial" w:eastAsia="Arial" w:hAnsi="Arial"/>
                <w:sz w:val="22"/>
                <w:szCs w:val="22"/>
                <w:color w:val="auto"/>
                <w:w w:val="97"/>
              </w:rPr>
              <w:t>96</w:t>
            </w:r>
          </w:p>
        </w:tc>
        <w:tc>
          <w:tcPr>
            <w:tcW w:w="420" w:type="dxa"/>
            <w:vAlign w:val="bottom"/>
            <w:vMerge w:val="restart"/>
          </w:tcPr>
          <w:p>
            <w:pPr>
              <w:jc w:val="right"/>
              <w:ind w:right="72"/>
              <w:spacing w:after="0"/>
              <w:rPr>
                <w:sz w:val="20"/>
                <w:szCs w:val="20"/>
                <w:color w:val="auto"/>
              </w:rPr>
            </w:pPr>
            <w:r>
              <w:rPr>
                <w:rFonts w:ascii="Arial" w:cs="Arial" w:eastAsia="Arial" w:hAnsi="Arial"/>
                <w:sz w:val="22"/>
                <w:szCs w:val="22"/>
                <w:color w:val="auto"/>
                <w:w w:val="89"/>
              </w:rPr>
              <w:t>97</w:t>
            </w: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5.03</w:t>
            </w:r>
          </w:p>
        </w:tc>
        <w:tc>
          <w:tcPr>
            <w:tcW w:w="304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94"/>
              </w:rPr>
              <w:t>Existence; Conduct of Business</w:t>
            </w:r>
          </w:p>
        </w:tc>
        <w:tc>
          <w:tcPr>
            <w:tcW w:w="4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5.04</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90"/>
              </w:rPr>
              <w:t>Payment of Taxes</w:t>
            </w:r>
          </w:p>
        </w:tc>
        <w:tc>
          <w:tcPr>
            <w:tcW w:w="600" w:type="dxa"/>
            <w:vAlign w:val="bottom"/>
            <w:gridSpan w:val="3"/>
          </w:tcPr>
          <w:p>
            <w:pPr>
              <w:ind w:left="140"/>
              <w:spacing w:after="0" w:line="216" w:lineRule="exact"/>
              <w:rPr>
                <w:sz w:val="20"/>
                <w:szCs w:val="20"/>
                <w:color w:val="auto"/>
              </w:rPr>
            </w:pPr>
            <w:r>
              <w:rPr>
                <w:rFonts w:ascii="Arial" w:cs="Arial" w:eastAsia="Arial" w:hAnsi="Arial"/>
                <w:sz w:val="22"/>
                <w:szCs w:val="22"/>
                <w:color w:val="auto"/>
              </w:rPr>
              <w:t>97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5.05</w:t>
            </w:r>
          </w:p>
        </w:tc>
        <w:tc>
          <w:tcPr>
            <w:tcW w:w="6840" w:type="dxa"/>
            <w:vAlign w:val="bottom"/>
            <w:gridSpan w:val="11"/>
          </w:tcPr>
          <w:p>
            <w:pPr>
              <w:ind w:left="100"/>
              <w:spacing w:after="0" w:line="216" w:lineRule="exact"/>
              <w:rPr>
                <w:sz w:val="20"/>
                <w:szCs w:val="20"/>
                <w:color w:val="auto"/>
              </w:rPr>
            </w:pPr>
            <w:r>
              <w:rPr>
                <w:rFonts w:ascii="Arial" w:cs="Arial" w:eastAsia="Arial" w:hAnsi="Arial"/>
                <w:sz w:val="22"/>
                <w:szCs w:val="22"/>
                <w:color w:val="auto"/>
                <w:w w:val="90"/>
              </w:rPr>
              <w:t>Maintenance of Properties; Protection of Intellectual Property; Insurance  97</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5.06</w:t>
            </w:r>
          </w:p>
        </w:tc>
        <w:tc>
          <w:tcPr>
            <w:tcW w:w="3460" w:type="dxa"/>
            <w:vAlign w:val="bottom"/>
            <w:gridSpan w:val="9"/>
          </w:tcPr>
          <w:p>
            <w:pPr>
              <w:ind w:left="100"/>
              <w:spacing w:after="0" w:line="216" w:lineRule="exact"/>
              <w:rPr>
                <w:sz w:val="20"/>
                <w:szCs w:val="20"/>
                <w:color w:val="auto"/>
              </w:rPr>
            </w:pPr>
            <w:r>
              <w:rPr>
                <w:rFonts w:ascii="Arial" w:cs="Arial" w:eastAsia="Arial" w:hAnsi="Arial"/>
                <w:sz w:val="22"/>
                <w:szCs w:val="22"/>
                <w:color w:val="auto"/>
                <w:w w:val="92"/>
              </w:rPr>
              <w:t>Maintenance of Material Agreements</w:t>
            </w:r>
          </w:p>
        </w:tc>
        <w:tc>
          <w:tcPr>
            <w:tcW w:w="2000" w:type="dxa"/>
            <w:vAlign w:val="bottom"/>
          </w:tcPr>
          <w:p>
            <w:pPr>
              <w:jc w:val="right"/>
              <w:ind w:right="1592"/>
              <w:spacing w:after="0" w:line="216" w:lineRule="exact"/>
              <w:rPr>
                <w:sz w:val="20"/>
                <w:szCs w:val="20"/>
                <w:color w:val="auto"/>
              </w:rPr>
            </w:pPr>
            <w:r>
              <w:rPr>
                <w:rFonts w:ascii="Arial" w:cs="Arial" w:eastAsia="Arial" w:hAnsi="Arial"/>
                <w:sz w:val="22"/>
                <w:szCs w:val="22"/>
                <w:color w:val="auto"/>
              </w:rPr>
              <w:t>97</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5.07</w:t>
            </w:r>
          </w:p>
        </w:tc>
        <w:tc>
          <w:tcPr>
            <w:tcW w:w="3460" w:type="dxa"/>
            <w:vAlign w:val="bottom"/>
            <w:gridSpan w:val="9"/>
          </w:tcPr>
          <w:p>
            <w:pPr>
              <w:ind w:left="100"/>
              <w:spacing w:after="0" w:line="216" w:lineRule="exact"/>
              <w:rPr>
                <w:sz w:val="20"/>
                <w:szCs w:val="20"/>
                <w:color w:val="auto"/>
              </w:rPr>
            </w:pPr>
            <w:r>
              <w:rPr>
                <w:rFonts w:ascii="Arial" w:cs="Arial" w:eastAsia="Arial" w:hAnsi="Arial"/>
                <w:sz w:val="22"/>
                <w:szCs w:val="22"/>
                <w:color w:val="auto"/>
                <w:w w:val="89"/>
              </w:rPr>
              <w:t>Books and Records; Inspection Rights</w:t>
            </w:r>
          </w:p>
        </w:tc>
        <w:tc>
          <w:tcPr>
            <w:tcW w:w="2000" w:type="dxa"/>
            <w:vAlign w:val="bottom"/>
          </w:tcPr>
          <w:p>
            <w:pPr>
              <w:jc w:val="right"/>
              <w:ind w:right="1492"/>
              <w:spacing w:after="0" w:line="216" w:lineRule="exact"/>
              <w:rPr>
                <w:sz w:val="20"/>
                <w:szCs w:val="20"/>
                <w:color w:val="auto"/>
              </w:rPr>
            </w:pPr>
            <w:r>
              <w:rPr>
                <w:rFonts w:ascii="Arial" w:cs="Arial" w:eastAsia="Arial" w:hAnsi="Arial"/>
                <w:sz w:val="22"/>
                <w:szCs w:val="22"/>
                <w:color w:val="auto"/>
              </w:rPr>
              <w:t>97</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5.08</w:t>
            </w:r>
          </w:p>
        </w:tc>
        <w:tc>
          <w:tcPr>
            <w:tcW w:w="1400" w:type="dxa"/>
            <w:vAlign w:val="bottom"/>
            <w:gridSpan w:val="2"/>
          </w:tcPr>
          <w:p>
            <w:pPr>
              <w:ind w:left="100"/>
              <w:spacing w:after="0" w:line="216" w:lineRule="exact"/>
              <w:rPr>
                <w:sz w:val="20"/>
                <w:szCs w:val="20"/>
                <w:color w:val="auto"/>
              </w:rPr>
            </w:pPr>
            <w:r>
              <w:rPr>
                <w:rFonts w:ascii="Arial" w:cs="Arial" w:eastAsia="Arial" w:hAnsi="Arial"/>
                <w:sz w:val="22"/>
                <w:szCs w:val="22"/>
                <w:color w:val="auto"/>
                <w:w w:val="91"/>
              </w:rPr>
              <w:t>ERISA Events</w:t>
            </w:r>
          </w:p>
        </w:tc>
        <w:tc>
          <w:tcPr>
            <w:tcW w:w="48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5.09</w:t>
            </w:r>
          </w:p>
        </w:tc>
        <w:tc>
          <w:tcPr>
            <w:tcW w:w="5460" w:type="dxa"/>
            <w:vAlign w:val="bottom"/>
            <w:gridSpan w:val="10"/>
          </w:tcPr>
          <w:p>
            <w:pPr>
              <w:ind w:left="100"/>
              <w:spacing w:after="0" w:line="216" w:lineRule="exact"/>
              <w:rPr>
                <w:sz w:val="20"/>
                <w:szCs w:val="20"/>
                <w:color w:val="auto"/>
              </w:rPr>
            </w:pPr>
            <w:r>
              <w:rPr>
                <w:rFonts w:ascii="Arial" w:cs="Arial" w:eastAsia="Arial" w:hAnsi="Arial"/>
                <w:sz w:val="22"/>
                <w:szCs w:val="22"/>
                <w:color w:val="auto"/>
              </w:rPr>
              <w:t>Compliance with Laws and Agreements  98</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5.10</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98"/>
              </w:rPr>
              <w:t>Use of Proceeds</w:t>
            </w:r>
          </w:p>
        </w:tc>
        <w:tc>
          <w:tcPr>
            <w:tcW w:w="340" w:type="dxa"/>
            <w:vAlign w:val="bottom"/>
            <w:gridSpan w:val="2"/>
          </w:tcPr>
          <w:p>
            <w:pPr>
              <w:spacing w:after="0" w:line="216" w:lineRule="exact"/>
              <w:rPr>
                <w:sz w:val="20"/>
                <w:szCs w:val="20"/>
                <w:color w:val="auto"/>
              </w:rPr>
            </w:pPr>
            <w:r>
              <w:rPr>
                <w:rFonts w:ascii="Arial" w:cs="Arial" w:eastAsia="Arial" w:hAnsi="Arial"/>
                <w:sz w:val="22"/>
                <w:szCs w:val="22"/>
                <w:color w:val="auto"/>
              </w:rPr>
              <w:t>98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22"/>
                <w:szCs w:val="22"/>
                <w:color w:val="auto"/>
              </w:rPr>
              <w:t>98</w:t>
            </w: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5.11</w:t>
            </w:r>
          </w:p>
        </w:tc>
        <w:tc>
          <w:tcPr>
            <w:tcW w:w="3040" w:type="dxa"/>
            <w:vAlign w:val="bottom"/>
            <w:gridSpan w:val="8"/>
          </w:tcPr>
          <w:p>
            <w:pPr>
              <w:ind w:left="100"/>
              <w:spacing w:after="0" w:line="216" w:lineRule="exact"/>
              <w:rPr>
                <w:sz w:val="20"/>
                <w:szCs w:val="20"/>
                <w:color w:val="auto"/>
              </w:rPr>
            </w:pPr>
            <w:r>
              <w:rPr>
                <w:rFonts w:ascii="Arial" w:cs="Arial" w:eastAsia="Arial" w:hAnsi="Arial"/>
                <w:sz w:val="22"/>
                <w:szCs w:val="22"/>
                <w:color w:val="auto"/>
                <w:w w:val="91"/>
              </w:rPr>
              <w:t>Guarantors; Additional Collateral</w:t>
            </w:r>
          </w:p>
        </w:tc>
        <w:tc>
          <w:tcPr>
            <w:tcW w:w="4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5.12</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86"/>
              </w:rPr>
              <w:t>Cash Management</w:t>
            </w:r>
          </w:p>
        </w:tc>
        <w:tc>
          <w:tcPr>
            <w:tcW w:w="160" w:type="dxa"/>
            <w:vAlign w:val="bottom"/>
          </w:tcPr>
          <w:p>
            <w:pPr>
              <w:spacing w:after="0"/>
              <w:rPr>
                <w:sz w:val="18"/>
                <w:szCs w:val="18"/>
                <w:color w:val="auto"/>
              </w:rPr>
            </w:pPr>
          </w:p>
        </w:tc>
        <w:tc>
          <w:tcPr>
            <w:tcW w:w="440" w:type="dxa"/>
            <w:vAlign w:val="bottom"/>
            <w:gridSpan w:val="2"/>
          </w:tcPr>
          <w:p>
            <w:pPr>
              <w:jc w:val="right"/>
              <w:spacing w:after="0" w:line="216" w:lineRule="exact"/>
              <w:rPr>
                <w:sz w:val="20"/>
                <w:szCs w:val="20"/>
                <w:color w:val="auto"/>
              </w:rPr>
            </w:pPr>
            <w:r>
              <w:rPr>
                <w:rFonts w:ascii="Arial" w:cs="Arial" w:eastAsia="Arial" w:hAnsi="Arial"/>
                <w:sz w:val="22"/>
                <w:szCs w:val="22"/>
                <w:color w:val="auto"/>
                <w:w w:val="97"/>
              </w:rPr>
              <w:t>103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5.13</w:t>
            </w:r>
          </w:p>
        </w:tc>
        <w:tc>
          <w:tcPr>
            <w:tcW w:w="188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91"/>
              </w:rPr>
              <w:t>Further Assurances</w:t>
            </w:r>
          </w:p>
        </w:tc>
        <w:tc>
          <w:tcPr>
            <w:tcW w:w="44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103</w:t>
            </w:r>
          </w:p>
        </w:tc>
        <w:tc>
          <w:tcPr>
            <w:tcW w:w="72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rPr>
              <w:t>103</w:t>
            </w: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5.14</w:t>
            </w:r>
          </w:p>
        </w:tc>
        <w:tc>
          <w:tcPr>
            <w:tcW w:w="2320" w:type="dxa"/>
            <w:vAlign w:val="bottom"/>
            <w:gridSpan w:val="6"/>
          </w:tcPr>
          <w:p>
            <w:pPr>
              <w:ind w:left="100"/>
              <w:spacing w:after="0"/>
              <w:rPr>
                <w:sz w:val="20"/>
                <w:szCs w:val="20"/>
                <w:color w:val="auto"/>
              </w:rPr>
            </w:pPr>
            <w:r>
              <w:rPr>
                <w:rFonts w:ascii="Arial" w:cs="Arial" w:eastAsia="Arial" w:hAnsi="Arial"/>
                <w:sz w:val="22"/>
                <w:szCs w:val="22"/>
                <w:color w:val="auto"/>
                <w:w w:val="95"/>
              </w:rPr>
              <w:t>Accuracy of Information</w:t>
            </w:r>
          </w:p>
        </w:tc>
        <w:tc>
          <w:tcPr>
            <w:tcW w:w="720" w:type="dxa"/>
            <w:vAlign w:val="bottom"/>
            <w:gridSpan w:val="2"/>
            <w:vMerge w:val="continue"/>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6</w:t>
            </w:r>
          </w:p>
        </w:tc>
        <w:tc>
          <w:tcPr>
            <w:tcW w:w="2660" w:type="dxa"/>
            <w:vAlign w:val="bottom"/>
            <w:gridSpan w:val="7"/>
          </w:tcPr>
          <w:p>
            <w:pPr>
              <w:ind w:left="100"/>
              <w:spacing w:after="0"/>
              <w:rPr>
                <w:sz w:val="20"/>
                <w:szCs w:val="20"/>
                <w:color w:val="auto"/>
              </w:rPr>
            </w:pPr>
            <w:r>
              <w:rPr>
                <w:rFonts w:ascii="Arial" w:cs="Arial" w:eastAsia="Arial" w:hAnsi="Arial"/>
                <w:sz w:val="22"/>
                <w:szCs w:val="22"/>
                <w:color w:val="auto"/>
                <w:w w:val="99"/>
              </w:rPr>
              <w:t>NEGATIVE COVENANTS</w:t>
            </w:r>
          </w:p>
        </w:tc>
        <w:tc>
          <w:tcPr>
            <w:tcW w:w="720" w:type="dxa"/>
            <w:vAlign w:val="bottom"/>
            <w:gridSpan w:val="2"/>
          </w:tcPr>
          <w:p>
            <w:pPr>
              <w:jc w:val="right"/>
              <w:ind w:right="192"/>
              <w:spacing w:after="0"/>
              <w:rPr>
                <w:sz w:val="20"/>
                <w:szCs w:val="20"/>
                <w:color w:val="auto"/>
              </w:rPr>
            </w:pPr>
            <w:r>
              <w:rPr>
                <w:rFonts w:ascii="Arial" w:cs="Arial" w:eastAsia="Arial" w:hAnsi="Arial"/>
                <w:sz w:val="22"/>
                <w:szCs w:val="22"/>
                <w:color w:val="auto"/>
              </w:rPr>
              <w:t>103</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6.01</w:t>
            </w:r>
          </w:p>
        </w:tc>
        <w:tc>
          <w:tcPr>
            <w:tcW w:w="1400" w:type="dxa"/>
            <w:vAlign w:val="bottom"/>
            <w:gridSpan w:val="2"/>
          </w:tcPr>
          <w:p>
            <w:pPr>
              <w:ind w:left="100"/>
              <w:spacing w:after="0"/>
              <w:rPr>
                <w:sz w:val="20"/>
                <w:szCs w:val="20"/>
                <w:color w:val="auto"/>
              </w:rPr>
            </w:pPr>
            <w:r>
              <w:rPr>
                <w:rFonts w:ascii="Arial" w:cs="Arial" w:eastAsia="Arial" w:hAnsi="Arial"/>
                <w:sz w:val="22"/>
                <w:szCs w:val="22"/>
                <w:color w:val="auto"/>
                <w:w w:val="96"/>
              </w:rPr>
              <w:t>Indebtedness</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w w:val="97"/>
              </w:rPr>
              <w:t>104</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6.02</w:t>
            </w:r>
          </w:p>
        </w:tc>
        <w:tc>
          <w:tcPr>
            <w:tcW w:w="1120" w:type="dxa"/>
            <w:vAlign w:val="bottom"/>
          </w:tcPr>
          <w:p>
            <w:pPr>
              <w:ind w:left="100"/>
              <w:spacing w:after="0" w:line="216" w:lineRule="exact"/>
              <w:rPr>
                <w:sz w:val="20"/>
                <w:szCs w:val="20"/>
                <w:color w:val="auto"/>
              </w:rPr>
            </w:pPr>
            <w:r>
              <w:rPr>
                <w:rFonts w:ascii="Arial" w:cs="Arial" w:eastAsia="Arial" w:hAnsi="Arial"/>
                <w:sz w:val="22"/>
                <w:szCs w:val="22"/>
                <w:color w:val="auto"/>
                <w:w w:val="98"/>
              </w:rPr>
              <w:t>Liens  106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22"/>
                <w:szCs w:val="22"/>
                <w:color w:val="auto"/>
              </w:rPr>
              <w:t>109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6.03</w:t>
            </w:r>
          </w:p>
        </w:tc>
        <w:tc>
          <w:tcPr>
            <w:tcW w:w="2060" w:type="dxa"/>
            <w:vAlign w:val="bottom"/>
            <w:gridSpan w:val="5"/>
          </w:tcPr>
          <w:p>
            <w:pPr>
              <w:ind w:left="100"/>
              <w:spacing w:after="0" w:line="216" w:lineRule="exact"/>
              <w:rPr>
                <w:sz w:val="20"/>
                <w:szCs w:val="20"/>
                <w:color w:val="auto"/>
              </w:rPr>
            </w:pPr>
            <w:r>
              <w:rPr>
                <w:rFonts w:ascii="Arial" w:cs="Arial" w:eastAsia="Arial" w:hAnsi="Arial"/>
                <w:sz w:val="22"/>
                <w:szCs w:val="22"/>
                <w:color w:val="auto"/>
                <w:w w:val="87"/>
              </w:rPr>
              <w:t>Fundamental Changes</w:t>
            </w:r>
          </w:p>
        </w:tc>
        <w:tc>
          <w:tcPr>
            <w:tcW w:w="5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vMerge w:val="restart"/>
          </w:tcPr>
          <w:p>
            <w:pPr>
              <w:jc w:val="right"/>
              <w:ind w:right="892"/>
              <w:spacing w:after="0"/>
              <w:rPr>
                <w:sz w:val="20"/>
                <w:szCs w:val="20"/>
                <w:color w:val="auto"/>
              </w:rPr>
            </w:pPr>
            <w:r>
              <w:rPr>
                <w:rFonts w:ascii="Arial" w:cs="Arial" w:eastAsia="Arial" w:hAnsi="Arial"/>
                <w:sz w:val="22"/>
                <w:szCs w:val="22"/>
                <w:color w:val="auto"/>
                <w:w w:val="97"/>
              </w:rPr>
              <w:t>110</w:t>
            </w: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6.04</w:t>
            </w:r>
          </w:p>
        </w:tc>
        <w:tc>
          <w:tcPr>
            <w:tcW w:w="5460" w:type="dxa"/>
            <w:vAlign w:val="bottom"/>
            <w:gridSpan w:val="10"/>
          </w:tcPr>
          <w:p>
            <w:pPr>
              <w:ind w:left="100"/>
              <w:spacing w:after="0" w:line="216" w:lineRule="exact"/>
              <w:rPr>
                <w:sz w:val="20"/>
                <w:szCs w:val="20"/>
                <w:color w:val="auto"/>
              </w:rPr>
            </w:pPr>
            <w:r>
              <w:rPr>
                <w:rFonts w:ascii="Arial" w:cs="Arial" w:eastAsia="Arial" w:hAnsi="Arial"/>
                <w:sz w:val="22"/>
                <w:szCs w:val="22"/>
                <w:color w:val="auto"/>
                <w:w w:val="90"/>
              </w:rPr>
              <w:t>Investments, Loans, Advances, Guarantees and Acquisitions</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6.05</w:t>
            </w:r>
          </w:p>
        </w:tc>
        <w:tc>
          <w:tcPr>
            <w:tcW w:w="188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86"/>
              </w:rPr>
              <w:t>Restricted Payments</w:t>
            </w:r>
          </w:p>
        </w:tc>
        <w:tc>
          <w:tcPr>
            <w:tcW w:w="180" w:type="dxa"/>
            <w:vAlign w:val="bottom"/>
          </w:tcPr>
          <w:p>
            <w:pPr>
              <w:spacing w:after="0"/>
              <w:rPr>
                <w:sz w:val="18"/>
                <w:szCs w:val="18"/>
                <w:color w:val="auto"/>
              </w:rPr>
            </w:pPr>
          </w:p>
        </w:tc>
        <w:tc>
          <w:tcPr>
            <w:tcW w:w="54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112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6.06</w:t>
            </w:r>
          </w:p>
        </w:tc>
        <w:tc>
          <w:tcPr>
            <w:tcW w:w="2320" w:type="dxa"/>
            <w:vAlign w:val="bottom"/>
            <w:gridSpan w:val="6"/>
          </w:tcPr>
          <w:p>
            <w:pPr>
              <w:ind w:left="100"/>
              <w:spacing w:after="0" w:line="216" w:lineRule="exact"/>
              <w:rPr>
                <w:sz w:val="20"/>
                <w:szCs w:val="20"/>
                <w:color w:val="auto"/>
              </w:rPr>
            </w:pPr>
            <w:r>
              <w:rPr>
                <w:rFonts w:ascii="Arial" w:cs="Arial" w:eastAsia="Arial" w:hAnsi="Arial"/>
                <w:sz w:val="22"/>
                <w:szCs w:val="22"/>
                <w:color w:val="auto"/>
                <w:w w:val="96"/>
              </w:rPr>
              <w:t>Restrictive Agreements</w:t>
            </w:r>
          </w:p>
        </w:tc>
        <w:tc>
          <w:tcPr>
            <w:tcW w:w="720" w:type="dxa"/>
            <w:vAlign w:val="bottom"/>
            <w:gridSpan w:val="2"/>
          </w:tcPr>
          <w:p>
            <w:pPr>
              <w:jc w:val="right"/>
              <w:ind w:right="272"/>
              <w:spacing w:after="0" w:line="216" w:lineRule="exact"/>
              <w:rPr>
                <w:sz w:val="20"/>
                <w:szCs w:val="20"/>
                <w:color w:val="auto"/>
              </w:rPr>
            </w:pPr>
            <w:r>
              <w:rPr>
                <w:rFonts w:ascii="Arial" w:cs="Arial" w:eastAsia="Arial" w:hAnsi="Arial"/>
                <w:sz w:val="22"/>
                <w:szCs w:val="22"/>
                <w:color w:val="auto"/>
                <w:w w:val="87"/>
              </w:rPr>
              <w:t>115</w:t>
            </w: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6.07</w:t>
            </w:r>
          </w:p>
        </w:tc>
        <w:tc>
          <w:tcPr>
            <w:tcW w:w="2600" w:type="dxa"/>
            <w:vAlign w:val="bottom"/>
            <w:gridSpan w:val="7"/>
          </w:tcPr>
          <w:p>
            <w:pPr>
              <w:ind w:left="100"/>
              <w:spacing w:after="0" w:line="216" w:lineRule="exact"/>
              <w:rPr>
                <w:sz w:val="20"/>
                <w:szCs w:val="20"/>
                <w:color w:val="auto"/>
              </w:rPr>
            </w:pPr>
            <w:r>
              <w:rPr>
                <w:rFonts w:ascii="Arial" w:cs="Arial" w:eastAsia="Arial" w:hAnsi="Arial"/>
                <w:sz w:val="22"/>
                <w:szCs w:val="22"/>
                <w:color w:val="auto"/>
                <w:w w:val="95"/>
              </w:rPr>
              <w:t>Transactions with Affiliates</w:t>
            </w:r>
          </w:p>
        </w:tc>
        <w:tc>
          <w:tcPr>
            <w:tcW w:w="440" w:type="dxa"/>
            <w:vAlign w:val="bottom"/>
          </w:tcPr>
          <w:p>
            <w:pPr>
              <w:jc w:val="right"/>
              <w:spacing w:after="0" w:line="216" w:lineRule="exact"/>
              <w:rPr>
                <w:sz w:val="20"/>
                <w:szCs w:val="20"/>
                <w:color w:val="auto"/>
              </w:rPr>
            </w:pPr>
            <w:r>
              <w:rPr>
                <w:rFonts w:ascii="Arial" w:cs="Arial" w:eastAsia="Arial" w:hAnsi="Arial"/>
                <w:sz w:val="22"/>
                <w:szCs w:val="22"/>
                <w:color w:val="auto"/>
              </w:rPr>
              <w:t>116</w:t>
            </w: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6.08</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98"/>
              </w:rPr>
              <w:t>Use of Proceeds</w:t>
            </w:r>
          </w:p>
        </w:tc>
        <w:tc>
          <w:tcPr>
            <w:tcW w:w="340" w:type="dxa"/>
            <w:vAlign w:val="bottom"/>
            <w:gridSpan w:val="2"/>
          </w:tcPr>
          <w:p>
            <w:pPr>
              <w:spacing w:after="0" w:line="216" w:lineRule="exact"/>
              <w:rPr>
                <w:sz w:val="20"/>
                <w:szCs w:val="20"/>
                <w:color w:val="auto"/>
              </w:rPr>
            </w:pPr>
            <w:r>
              <w:rPr>
                <w:rFonts w:ascii="Arial" w:cs="Arial" w:eastAsia="Arial" w:hAnsi="Arial"/>
                <w:sz w:val="22"/>
                <w:szCs w:val="22"/>
                <w:color w:val="auto"/>
                <w:w w:val="87"/>
              </w:rPr>
              <w:t>116</w:t>
            </w:r>
          </w:p>
        </w:tc>
        <w:tc>
          <w:tcPr>
            <w:tcW w:w="260" w:type="dxa"/>
            <w:vAlign w:val="bottom"/>
          </w:tcPr>
          <w:p>
            <w:pPr>
              <w:spacing w:after="0"/>
              <w:rPr>
                <w:sz w:val="18"/>
                <w:szCs w:val="18"/>
                <w:color w:val="auto"/>
              </w:rPr>
            </w:pPr>
          </w:p>
        </w:tc>
        <w:tc>
          <w:tcPr>
            <w:tcW w:w="720" w:type="dxa"/>
            <w:vAlign w:val="bottom"/>
            <w:gridSpan w:val="2"/>
            <w:vMerge w:val="restart"/>
          </w:tcPr>
          <w:p>
            <w:pPr>
              <w:jc w:val="right"/>
              <w:ind w:right="272"/>
              <w:spacing w:after="0"/>
              <w:rPr>
                <w:sz w:val="20"/>
                <w:szCs w:val="20"/>
                <w:color w:val="auto"/>
              </w:rPr>
            </w:pPr>
            <w:r>
              <w:rPr>
                <w:rFonts w:ascii="Arial" w:cs="Arial" w:eastAsia="Arial" w:hAnsi="Arial"/>
                <w:sz w:val="22"/>
                <w:szCs w:val="22"/>
                <w:color w:val="auto"/>
                <w:w w:val="87"/>
              </w:rPr>
              <w:t>116</w:t>
            </w: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6.09</w:t>
            </w:r>
          </w:p>
        </w:tc>
        <w:tc>
          <w:tcPr>
            <w:tcW w:w="2320" w:type="dxa"/>
            <w:vAlign w:val="bottom"/>
            <w:gridSpan w:val="6"/>
          </w:tcPr>
          <w:p>
            <w:pPr>
              <w:ind w:left="100"/>
              <w:spacing w:after="0" w:line="216" w:lineRule="exact"/>
              <w:rPr>
                <w:sz w:val="20"/>
                <w:szCs w:val="20"/>
                <w:color w:val="auto"/>
              </w:rPr>
            </w:pPr>
            <w:r>
              <w:rPr>
                <w:rFonts w:ascii="Arial" w:cs="Arial" w:eastAsia="Arial" w:hAnsi="Arial"/>
                <w:sz w:val="22"/>
                <w:szCs w:val="22"/>
                <w:color w:val="auto"/>
                <w:w w:val="99"/>
              </w:rPr>
              <w:t>Disposition of Property</w:t>
            </w:r>
          </w:p>
        </w:tc>
        <w:tc>
          <w:tcPr>
            <w:tcW w:w="7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6.10</w:t>
            </w:r>
          </w:p>
        </w:tc>
        <w:tc>
          <w:tcPr>
            <w:tcW w:w="188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88"/>
              </w:rPr>
              <w:t>Financial Covenants</w:t>
            </w:r>
          </w:p>
        </w:tc>
        <w:tc>
          <w:tcPr>
            <w:tcW w:w="180" w:type="dxa"/>
            <w:vAlign w:val="bottom"/>
          </w:tcPr>
          <w:p>
            <w:pPr>
              <w:spacing w:after="0"/>
              <w:rPr>
                <w:sz w:val="18"/>
                <w:szCs w:val="18"/>
                <w:color w:val="auto"/>
              </w:rPr>
            </w:pPr>
          </w:p>
        </w:tc>
        <w:tc>
          <w:tcPr>
            <w:tcW w:w="54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118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6.11</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88"/>
              </w:rPr>
              <w:t>Swap Agreements</w:t>
            </w:r>
          </w:p>
        </w:tc>
        <w:tc>
          <w:tcPr>
            <w:tcW w:w="160" w:type="dxa"/>
            <w:vAlign w:val="bottom"/>
          </w:tcPr>
          <w:p>
            <w:pPr>
              <w:spacing w:after="0"/>
              <w:rPr>
                <w:sz w:val="18"/>
                <w:szCs w:val="18"/>
                <w:color w:val="auto"/>
              </w:rPr>
            </w:pPr>
          </w:p>
        </w:tc>
        <w:tc>
          <w:tcPr>
            <w:tcW w:w="440" w:type="dxa"/>
            <w:vAlign w:val="bottom"/>
            <w:gridSpan w:val="2"/>
          </w:tcPr>
          <w:p>
            <w:pPr>
              <w:spacing w:after="0" w:line="216" w:lineRule="exact"/>
              <w:rPr>
                <w:sz w:val="20"/>
                <w:szCs w:val="20"/>
                <w:color w:val="auto"/>
              </w:rPr>
            </w:pPr>
            <w:r>
              <w:rPr>
                <w:rFonts w:ascii="Arial" w:cs="Arial" w:eastAsia="Arial" w:hAnsi="Arial"/>
                <w:sz w:val="22"/>
                <w:szCs w:val="22"/>
                <w:color w:val="auto"/>
              </w:rPr>
              <w:t>118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6.12</w:t>
            </w:r>
          </w:p>
        </w:tc>
        <w:tc>
          <w:tcPr>
            <w:tcW w:w="3460" w:type="dxa"/>
            <w:vAlign w:val="bottom"/>
            <w:gridSpan w:val="9"/>
          </w:tcPr>
          <w:p>
            <w:pPr>
              <w:ind w:left="100"/>
              <w:spacing w:after="0"/>
              <w:rPr>
                <w:sz w:val="20"/>
                <w:szCs w:val="20"/>
                <w:color w:val="auto"/>
              </w:rPr>
            </w:pPr>
            <w:r>
              <w:rPr>
                <w:rFonts w:ascii="Arial" w:cs="Arial" w:eastAsia="Arial" w:hAnsi="Arial"/>
                <w:sz w:val="22"/>
                <w:szCs w:val="22"/>
                <w:color w:val="auto"/>
              </w:rPr>
              <w:t>Permitted Activities of Parent  118</w:t>
            </w: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580" w:type="dxa"/>
            <w:vAlign w:val="bottom"/>
            <w:gridSpan w:val="7"/>
          </w:tcPr>
          <w:p>
            <w:pPr>
              <w:spacing w:after="0"/>
              <w:rPr>
                <w:sz w:val="20"/>
                <w:szCs w:val="20"/>
                <w:color w:val="auto"/>
              </w:rPr>
            </w:pPr>
            <w:r>
              <w:rPr>
                <w:rFonts w:ascii="Arial" w:cs="Arial" w:eastAsia="Arial" w:hAnsi="Arial"/>
                <w:sz w:val="22"/>
                <w:szCs w:val="22"/>
                <w:color w:val="auto"/>
              </w:rPr>
              <w:t>ARTICLE 7  EVENTS OF DEFAULT</w:t>
            </w:r>
          </w:p>
        </w:tc>
        <w:tc>
          <w:tcPr>
            <w:tcW w:w="540" w:type="dxa"/>
            <w:vAlign w:val="bottom"/>
            <w:gridSpan w:val="2"/>
          </w:tcPr>
          <w:p>
            <w:pPr>
              <w:jc w:val="right"/>
              <w:ind w:right="32"/>
              <w:spacing w:after="0"/>
              <w:rPr>
                <w:sz w:val="20"/>
                <w:szCs w:val="20"/>
                <w:color w:val="auto"/>
              </w:rPr>
            </w:pPr>
            <w:r>
              <w:rPr>
                <w:rFonts w:ascii="Arial" w:cs="Arial" w:eastAsia="Arial" w:hAnsi="Arial"/>
                <w:sz w:val="22"/>
                <w:szCs w:val="22"/>
                <w:color w:val="auto"/>
              </w:rPr>
              <w:t>120</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7.01</w:t>
            </w:r>
          </w:p>
        </w:tc>
        <w:tc>
          <w:tcPr>
            <w:tcW w:w="1720" w:type="dxa"/>
            <w:vAlign w:val="bottom"/>
            <w:gridSpan w:val="3"/>
          </w:tcPr>
          <w:p>
            <w:pPr>
              <w:ind w:left="100"/>
              <w:spacing w:after="0"/>
              <w:rPr>
                <w:sz w:val="20"/>
                <w:szCs w:val="20"/>
                <w:color w:val="auto"/>
              </w:rPr>
            </w:pPr>
            <w:r>
              <w:rPr>
                <w:rFonts w:ascii="Arial" w:cs="Arial" w:eastAsia="Arial" w:hAnsi="Arial"/>
                <w:sz w:val="22"/>
                <w:szCs w:val="22"/>
                <w:color w:val="auto"/>
                <w:w w:val="95"/>
              </w:rPr>
              <w:t>Events of Default</w:t>
            </w:r>
          </w:p>
        </w:tc>
        <w:tc>
          <w:tcPr>
            <w:tcW w:w="600" w:type="dxa"/>
            <w:vAlign w:val="bottom"/>
            <w:gridSpan w:val="3"/>
          </w:tcPr>
          <w:p>
            <w:pPr>
              <w:ind w:left="120"/>
              <w:spacing w:after="0"/>
              <w:rPr>
                <w:sz w:val="20"/>
                <w:szCs w:val="20"/>
                <w:color w:val="auto"/>
              </w:rPr>
            </w:pPr>
            <w:r>
              <w:rPr>
                <w:rFonts w:ascii="Arial" w:cs="Arial" w:eastAsia="Arial" w:hAnsi="Arial"/>
                <w:sz w:val="22"/>
                <w:szCs w:val="22"/>
                <w:color w:val="auto"/>
              </w:rPr>
              <w:t>120</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7.02</w:t>
            </w:r>
          </w:p>
        </w:tc>
        <w:tc>
          <w:tcPr>
            <w:tcW w:w="1400" w:type="dxa"/>
            <w:vAlign w:val="bottom"/>
            <w:gridSpan w:val="2"/>
          </w:tcPr>
          <w:p>
            <w:pPr>
              <w:ind w:left="100"/>
              <w:spacing w:after="0" w:line="216" w:lineRule="exact"/>
              <w:rPr>
                <w:sz w:val="20"/>
                <w:szCs w:val="20"/>
                <w:color w:val="auto"/>
              </w:rPr>
            </w:pPr>
            <w:r>
              <w:rPr>
                <w:rFonts w:ascii="Arial" w:cs="Arial" w:eastAsia="Arial" w:hAnsi="Arial"/>
                <w:sz w:val="22"/>
                <w:szCs w:val="22"/>
                <w:color w:val="auto"/>
                <w:w w:val="98"/>
              </w:rPr>
              <w:t>Right to Cure</w:t>
            </w:r>
          </w:p>
        </w:tc>
        <w:tc>
          <w:tcPr>
            <w:tcW w:w="48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123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vMerge w:val="restart"/>
          </w:tcPr>
          <w:p>
            <w:pPr>
              <w:jc w:val="right"/>
              <w:ind w:right="192"/>
              <w:spacing w:after="0"/>
              <w:rPr>
                <w:sz w:val="20"/>
                <w:szCs w:val="20"/>
                <w:color w:val="auto"/>
              </w:rPr>
            </w:pPr>
            <w:r>
              <w:rPr>
                <w:rFonts w:ascii="Arial" w:cs="Arial" w:eastAsia="Arial" w:hAnsi="Arial"/>
                <w:sz w:val="22"/>
                <w:szCs w:val="22"/>
                <w:color w:val="auto"/>
              </w:rPr>
              <w:t>124</w:t>
            </w: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7.03</w:t>
            </w:r>
          </w:p>
        </w:tc>
        <w:tc>
          <w:tcPr>
            <w:tcW w:w="2320" w:type="dxa"/>
            <w:vAlign w:val="bottom"/>
            <w:gridSpan w:val="6"/>
          </w:tcPr>
          <w:p>
            <w:pPr>
              <w:ind w:left="100"/>
              <w:spacing w:after="0"/>
              <w:rPr>
                <w:sz w:val="20"/>
                <w:szCs w:val="20"/>
                <w:color w:val="auto"/>
              </w:rPr>
            </w:pPr>
            <w:r>
              <w:rPr>
                <w:rFonts w:ascii="Arial" w:cs="Arial" w:eastAsia="Arial" w:hAnsi="Arial"/>
                <w:sz w:val="22"/>
                <w:szCs w:val="22"/>
                <w:color w:val="auto"/>
                <w:w w:val="95"/>
              </w:rPr>
              <w:t>Application of Proceeds</w:t>
            </w:r>
          </w:p>
        </w:tc>
        <w:tc>
          <w:tcPr>
            <w:tcW w:w="720" w:type="dxa"/>
            <w:vAlign w:val="bottom"/>
            <w:gridSpan w:val="2"/>
            <w:vMerge w:val="continue"/>
          </w:tcPr>
          <w:p>
            <w:pPr>
              <w:spacing w:after="0"/>
              <w:rPr>
                <w:sz w:val="23"/>
                <w:szCs w:val="23"/>
                <w:color w:val="auto"/>
              </w:rPr>
            </w:pPr>
          </w:p>
        </w:tc>
        <w:tc>
          <w:tcPr>
            <w:tcW w:w="4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22"/>
                <w:szCs w:val="22"/>
                <w:color w:val="auto"/>
              </w:rPr>
              <w:t>ARTICLE 8</w:t>
            </w:r>
          </w:p>
        </w:tc>
        <w:tc>
          <w:tcPr>
            <w:tcW w:w="1460" w:type="dxa"/>
            <w:vAlign w:val="bottom"/>
            <w:gridSpan w:val="2"/>
          </w:tcPr>
          <w:p>
            <w:pPr>
              <w:ind w:left="100"/>
              <w:spacing w:after="0"/>
              <w:rPr>
                <w:sz w:val="20"/>
                <w:szCs w:val="20"/>
                <w:color w:val="auto"/>
              </w:rPr>
            </w:pPr>
            <w:r>
              <w:rPr>
                <w:rFonts w:ascii="Arial" w:cs="Arial" w:eastAsia="Arial" w:hAnsi="Arial"/>
                <w:sz w:val="22"/>
                <w:szCs w:val="22"/>
                <w:color w:val="auto"/>
                <w:w w:val="95"/>
              </w:rPr>
              <w:t>THE AGENTS</w:t>
            </w:r>
          </w:p>
        </w:tc>
        <w:tc>
          <w:tcPr>
            <w:tcW w:w="600" w:type="dxa"/>
            <w:vAlign w:val="bottom"/>
            <w:gridSpan w:val="2"/>
          </w:tcPr>
          <w:p>
            <w:pPr>
              <w:ind w:left="180"/>
              <w:spacing w:after="0"/>
              <w:rPr>
                <w:sz w:val="20"/>
                <w:szCs w:val="20"/>
                <w:color w:val="auto"/>
              </w:rPr>
            </w:pPr>
            <w:r>
              <w:rPr>
                <w:rFonts w:ascii="Arial" w:cs="Arial" w:eastAsia="Arial" w:hAnsi="Arial"/>
                <w:sz w:val="22"/>
                <w:szCs w:val="22"/>
                <w:color w:val="auto"/>
              </w:rPr>
              <w:t>125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8.01</w:t>
            </w:r>
          </w:p>
        </w:tc>
        <w:tc>
          <w:tcPr>
            <w:tcW w:w="3460" w:type="dxa"/>
            <w:vAlign w:val="bottom"/>
            <w:gridSpan w:val="9"/>
          </w:tcPr>
          <w:p>
            <w:pPr>
              <w:ind w:left="100"/>
              <w:spacing w:after="0"/>
              <w:rPr>
                <w:sz w:val="20"/>
                <w:szCs w:val="20"/>
                <w:color w:val="auto"/>
              </w:rPr>
            </w:pPr>
            <w:r>
              <w:rPr>
                <w:rFonts w:ascii="Arial" w:cs="Arial" w:eastAsia="Arial" w:hAnsi="Arial"/>
                <w:sz w:val="22"/>
                <w:szCs w:val="22"/>
                <w:color w:val="auto"/>
                <w:w w:val="93"/>
              </w:rPr>
              <w:t>Appointment of Administrative Agent</w:t>
            </w:r>
          </w:p>
        </w:tc>
        <w:tc>
          <w:tcPr>
            <w:tcW w:w="2000" w:type="dxa"/>
            <w:vAlign w:val="bottom"/>
          </w:tcPr>
          <w:p>
            <w:pPr>
              <w:jc w:val="right"/>
              <w:ind w:right="1432"/>
              <w:spacing w:after="0"/>
              <w:rPr>
                <w:sz w:val="20"/>
                <w:szCs w:val="20"/>
                <w:color w:val="auto"/>
              </w:rPr>
            </w:pPr>
            <w:r>
              <w:rPr>
                <w:rFonts w:ascii="Arial" w:cs="Arial" w:eastAsia="Arial" w:hAnsi="Arial"/>
                <w:sz w:val="22"/>
                <w:szCs w:val="22"/>
                <w:color w:val="auto"/>
              </w:rPr>
              <w:t>125</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8.02</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86"/>
              </w:rPr>
              <w:t>Powers and Duties</w:t>
            </w:r>
          </w:p>
        </w:tc>
        <w:tc>
          <w:tcPr>
            <w:tcW w:w="160" w:type="dxa"/>
            <w:vAlign w:val="bottom"/>
          </w:tcPr>
          <w:p>
            <w:pPr>
              <w:spacing w:after="0"/>
              <w:rPr>
                <w:sz w:val="18"/>
                <w:szCs w:val="18"/>
                <w:color w:val="auto"/>
              </w:rPr>
            </w:pPr>
          </w:p>
        </w:tc>
        <w:tc>
          <w:tcPr>
            <w:tcW w:w="440" w:type="dxa"/>
            <w:vAlign w:val="bottom"/>
            <w:gridSpan w:val="2"/>
          </w:tcPr>
          <w:p>
            <w:pPr>
              <w:jc w:val="right"/>
              <w:spacing w:after="0" w:line="216" w:lineRule="exact"/>
              <w:rPr>
                <w:sz w:val="20"/>
                <w:szCs w:val="20"/>
                <w:color w:val="auto"/>
              </w:rPr>
            </w:pPr>
            <w:r>
              <w:rPr>
                <w:rFonts w:ascii="Arial" w:cs="Arial" w:eastAsia="Arial" w:hAnsi="Arial"/>
                <w:sz w:val="22"/>
                <w:szCs w:val="22"/>
                <w:color w:val="auto"/>
                <w:w w:val="97"/>
              </w:rPr>
              <w:t>125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4"/>
              </w:rPr>
              <w:t>Section 8.03</w:t>
            </w:r>
          </w:p>
        </w:tc>
        <w:tc>
          <w:tcPr>
            <w:tcW w:w="1720" w:type="dxa"/>
            <w:vAlign w:val="bottom"/>
            <w:gridSpan w:val="3"/>
          </w:tcPr>
          <w:p>
            <w:pPr>
              <w:ind w:left="100"/>
              <w:spacing w:after="0" w:line="216" w:lineRule="exact"/>
              <w:rPr>
                <w:sz w:val="20"/>
                <w:szCs w:val="20"/>
                <w:color w:val="auto"/>
              </w:rPr>
            </w:pPr>
            <w:r>
              <w:rPr>
                <w:rFonts w:ascii="Arial" w:cs="Arial" w:eastAsia="Arial" w:hAnsi="Arial"/>
                <w:sz w:val="22"/>
                <w:szCs w:val="22"/>
                <w:color w:val="auto"/>
                <w:w w:val="92"/>
              </w:rPr>
              <w:t>General Immunity</w:t>
            </w:r>
          </w:p>
        </w:tc>
        <w:tc>
          <w:tcPr>
            <w:tcW w:w="160" w:type="dxa"/>
            <w:vAlign w:val="bottom"/>
          </w:tcPr>
          <w:p>
            <w:pPr>
              <w:spacing w:after="0"/>
              <w:rPr>
                <w:sz w:val="18"/>
                <w:szCs w:val="18"/>
                <w:color w:val="auto"/>
              </w:rPr>
            </w:pPr>
          </w:p>
        </w:tc>
        <w:tc>
          <w:tcPr>
            <w:tcW w:w="44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125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20" w:type="dxa"/>
            <w:vAlign w:val="bottom"/>
            <w:gridSpan w:val="2"/>
          </w:tcPr>
          <w:p>
            <w:pPr>
              <w:ind w:left="340"/>
              <w:spacing w:after="0"/>
              <w:rPr>
                <w:sz w:val="20"/>
                <w:szCs w:val="20"/>
                <w:color w:val="auto"/>
              </w:rPr>
            </w:pPr>
            <w:r>
              <w:rPr>
                <w:rFonts w:ascii="Arial" w:cs="Arial" w:eastAsia="Arial" w:hAnsi="Arial"/>
                <w:sz w:val="22"/>
                <w:szCs w:val="22"/>
                <w:color w:val="auto"/>
                <w:w w:val="94"/>
              </w:rPr>
              <w:t>Section 8.04</w:t>
            </w:r>
          </w:p>
        </w:tc>
        <w:tc>
          <w:tcPr>
            <w:tcW w:w="5460" w:type="dxa"/>
            <w:vAlign w:val="bottom"/>
            <w:gridSpan w:val="10"/>
          </w:tcPr>
          <w:p>
            <w:pPr>
              <w:ind w:left="100"/>
              <w:spacing w:after="0"/>
              <w:rPr>
                <w:sz w:val="20"/>
                <w:szCs w:val="20"/>
                <w:color w:val="auto"/>
              </w:rPr>
            </w:pPr>
            <w:r>
              <w:rPr>
                <w:rFonts w:ascii="Arial" w:cs="Arial" w:eastAsia="Arial" w:hAnsi="Arial"/>
                <w:sz w:val="22"/>
                <w:szCs w:val="22"/>
                <w:color w:val="auto"/>
              </w:rPr>
              <w:t>Administrative Agent Entitled to Act as Lender  127</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364" w:right="1440" w:bottom="1440" w:gutter="0" w:footer="0" w:header="0"/>
        </w:sectPr>
      </w:pPr>
    </w:p>
    <w:p>
      <w:pPr>
        <w:spacing w:after="0"/>
        <w:rPr>
          <w:sz w:val="20"/>
          <w:szCs w:val="20"/>
          <w:color w:val="auto"/>
        </w:rPr>
      </w:pPr>
      <w:r>
        <w:rPr>
          <w:rFonts w:ascii="Arial" w:cs="Arial" w:eastAsia="Arial" w:hAnsi="Arial"/>
          <w:sz w:val="12"/>
          <w:szCs w:val="12"/>
          <w:color w:val="FF0000"/>
          <w:strike w:val="1"/>
        </w:rPr>
        <w:t>WEIL:\99030905\1\64101.0067</w:t>
      </w:r>
      <w:r>
        <w:rPr>
          <w:rFonts w:ascii="Arial" w:cs="Arial" w:eastAsia="Arial" w:hAnsi="Arial"/>
          <w:sz w:val="12"/>
          <w:szCs w:val="12"/>
          <w:u w:val="single" w:color="auto"/>
          <w:color w:val="0000FF"/>
          <w:strike w:val="1"/>
        </w:rPr>
        <w:t>WEIL:\99030905\8\64101.0067</w:t>
      </w:r>
    </w:p>
    <w:p>
      <w:pPr>
        <w:sectPr>
          <w:pgSz w:w="11900" w:h="16838" w:orient="portrait"/>
          <w:cols w:equalWidth="0" w:num="1">
            <w:col w:w="10139"/>
          </w:cols>
          <w:pgMar w:left="320" w:top="1364" w:right="1440"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53"/>
        </w:trPr>
        <w:tc>
          <w:tcPr>
            <w:tcW w:w="1560" w:type="dxa"/>
            <w:vAlign w:val="bottom"/>
            <w:gridSpan w:val="2"/>
          </w:tcPr>
          <w:p>
            <w:pPr>
              <w:ind w:left="340"/>
              <w:spacing w:after="0"/>
              <w:rPr>
                <w:sz w:val="20"/>
                <w:szCs w:val="20"/>
                <w:color w:val="auto"/>
              </w:rPr>
            </w:pPr>
            <w:r>
              <w:rPr>
                <w:rFonts w:ascii="Arial" w:cs="Arial" w:eastAsia="Arial" w:hAnsi="Arial"/>
                <w:sz w:val="22"/>
                <w:szCs w:val="22"/>
                <w:color w:val="auto"/>
                <w:w w:val="98"/>
              </w:rPr>
              <w:t>Section 8.05</w:t>
            </w:r>
          </w:p>
        </w:tc>
        <w:tc>
          <w:tcPr>
            <w:tcW w:w="5360" w:type="dxa"/>
            <w:vAlign w:val="bottom"/>
            <w:gridSpan w:val="10"/>
          </w:tcPr>
          <w:p>
            <w:pPr>
              <w:ind w:left="60"/>
              <w:spacing w:after="0"/>
              <w:rPr>
                <w:sz w:val="20"/>
                <w:szCs w:val="20"/>
                <w:color w:val="auto"/>
              </w:rPr>
            </w:pPr>
            <w:r>
              <w:rPr>
                <w:rFonts w:ascii="Arial" w:cs="Arial" w:eastAsia="Arial" w:hAnsi="Arial"/>
                <w:sz w:val="22"/>
                <w:szCs w:val="22"/>
                <w:color w:val="auto"/>
                <w:w w:val="90"/>
              </w:rPr>
              <w:t>Lenders’ Representations, Warranties and Acknowledgment</w:t>
            </w:r>
          </w:p>
        </w:tc>
        <w:tc>
          <w:tcPr>
            <w:tcW w:w="1420" w:type="dxa"/>
            <w:vAlign w:val="bottom"/>
          </w:tcPr>
          <w:p>
            <w:pPr>
              <w:jc w:val="right"/>
              <w:ind w:right="892"/>
              <w:spacing w:after="0"/>
              <w:rPr>
                <w:sz w:val="20"/>
                <w:szCs w:val="20"/>
                <w:color w:val="auto"/>
              </w:rPr>
            </w:pPr>
            <w:r>
              <w:rPr>
                <w:rFonts w:ascii="Arial" w:cs="Arial" w:eastAsia="Arial" w:hAnsi="Arial"/>
                <w:sz w:val="22"/>
                <w:szCs w:val="22"/>
                <w:color w:val="auto"/>
              </w:rPr>
              <w:t>127</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8.06</w:t>
            </w:r>
          </w:p>
        </w:tc>
        <w:tc>
          <w:tcPr>
            <w:tcW w:w="180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6"/>
              </w:rPr>
              <w:t>Right to Indemnity</w:t>
            </w:r>
          </w:p>
        </w:tc>
        <w:tc>
          <w:tcPr>
            <w:tcW w:w="50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127</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8.07</w:t>
            </w:r>
          </w:p>
        </w:tc>
        <w:tc>
          <w:tcPr>
            <w:tcW w:w="3700" w:type="dxa"/>
            <w:vAlign w:val="bottom"/>
            <w:gridSpan w:val="8"/>
          </w:tcPr>
          <w:p>
            <w:pPr>
              <w:ind w:left="60"/>
              <w:spacing w:after="0" w:line="216" w:lineRule="exact"/>
              <w:rPr>
                <w:sz w:val="20"/>
                <w:szCs w:val="20"/>
                <w:color w:val="auto"/>
              </w:rPr>
            </w:pPr>
            <w:r>
              <w:rPr>
                <w:rFonts w:ascii="Arial" w:cs="Arial" w:eastAsia="Arial" w:hAnsi="Arial"/>
                <w:sz w:val="22"/>
                <w:szCs w:val="22"/>
                <w:color w:val="auto"/>
              </w:rPr>
              <w:t>Successor Administrative Agent  128</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8.08</w:t>
            </w:r>
          </w:p>
        </w:tc>
        <w:tc>
          <w:tcPr>
            <w:tcW w:w="3180" w:type="dxa"/>
            <w:vAlign w:val="bottom"/>
            <w:gridSpan w:val="7"/>
          </w:tcPr>
          <w:p>
            <w:pPr>
              <w:ind w:left="60"/>
              <w:spacing w:after="0" w:line="216" w:lineRule="exact"/>
              <w:rPr>
                <w:sz w:val="20"/>
                <w:szCs w:val="20"/>
                <w:color w:val="auto"/>
              </w:rPr>
            </w:pPr>
            <w:r>
              <w:rPr>
                <w:rFonts w:ascii="Arial" w:cs="Arial" w:eastAsia="Arial" w:hAnsi="Arial"/>
                <w:sz w:val="22"/>
                <w:szCs w:val="22"/>
                <w:color w:val="auto"/>
                <w:w w:val="92"/>
              </w:rPr>
              <w:t>Guaranty and Security Documents</w:t>
            </w:r>
          </w:p>
        </w:tc>
        <w:tc>
          <w:tcPr>
            <w:tcW w:w="520" w:type="dxa"/>
            <w:vAlign w:val="bottom"/>
          </w:tcPr>
          <w:p>
            <w:pPr>
              <w:jc w:val="right"/>
              <w:ind w:right="12"/>
              <w:spacing w:after="0" w:line="216" w:lineRule="exact"/>
              <w:rPr>
                <w:sz w:val="20"/>
                <w:szCs w:val="20"/>
                <w:color w:val="auto"/>
              </w:rPr>
            </w:pPr>
            <w:r>
              <w:rPr>
                <w:rFonts w:ascii="Arial" w:cs="Arial" w:eastAsia="Arial" w:hAnsi="Arial"/>
                <w:sz w:val="22"/>
                <w:szCs w:val="22"/>
                <w:color w:val="auto"/>
              </w:rPr>
              <w:t>128</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8.09</w:t>
            </w:r>
          </w:p>
        </w:tc>
        <w:tc>
          <w:tcPr>
            <w:tcW w:w="180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5"/>
              </w:rPr>
              <w:t>Withholding Taxes</w:t>
            </w:r>
          </w:p>
        </w:tc>
        <w:tc>
          <w:tcPr>
            <w:tcW w:w="50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129</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vMerge w:val="restart"/>
          </w:tcPr>
          <w:p>
            <w:pPr>
              <w:jc w:val="right"/>
              <w:ind w:right="12"/>
              <w:spacing w:after="0"/>
              <w:rPr>
                <w:sz w:val="20"/>
                <w:szCs w:val="20"/>
                <w:color w:val="auto"/>
              </w:rPr>
            </w:pPr>
            <w:r>
              <w:rPr>
                <w:rFonts w:ascii="Arial" w:cs="Arial" w:eastAsia="Arial" w:hAnsi="Arial"/>
                <w:sz w:val="22"/>
                <w:szCs w:val="22"/>
                <w:color w:val="auto"/>
                <w:w w:val="97"/>
              </w:rPr>
              <w:t>129</w:t>
            </w: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8.10</w:t>
            </w:r>
          </w:p>
        </w:tc>
        <w:tc>
          <w:tcPr>
            <w:tcW w:w="6780" w:type="dxa"/>
            <w:vAlign w:val="bottom"/>
            <w:gridSpan w:val="11"/>
          </w:tcPr>
          <w:p>
            <w:pPr>
              <w:ind w:left="60"/>
              <w:spacing w:after="0" w:line="216" w:lineRule="exact"/>
              <w:rPr>
                <w:sz w:val="20"/>
                <w:szCs w:val="20"/>
                <w:color w:val="auto"/>
              </w:rPr>
            </w:pPr>
            <w:r>
              <w:rPr>
                <w:rFonts w:ascii="Arial" w:cs="Arial" w:eastAsia="Arial" w:hAnsi="Arial"/>
                <w:sz w:val="22"/>
                <w:szCs w:val="22"/>
                <w:color w:val="auto"/>
                <w:w w:val="93"/>
              </w:rPr>
              <w:t>Administrative Agent May File Bankruptcy Disclosure and Proofs of Claim</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8.11</w:t>
            </w:r>
          </w:p>
        </w:tc>
        <w:tc>
          <w:tcPr>
            <w:tcW w:w="4300" w:type="dxa"/>
            <w:vAlign w:val="bottom"/>
            <w:gridSpan w:val="9"/>
          </w:tcPr>
          <w:p>
            <w:pPr>
              <w:ind w:left="60"/>
              <w:spacing w:after="0" w:line="216" w:lineRule="exact"/>
              <w:rPr>
                <w:sz w:val="20"/>
                <w:szCs w:val="20"/>
                <w:color w:val="auto"/>
              </w:rPr>
            </w:pPr>
            <w:r>
              <w:rPr>
                <w:rFonts w:ascii="Arial" w:cs="Arial" w:eastAsia="Arial" w:hAnsi="Arial"/>
                <w:sz w:val="22"/>
                <w:szCs w:val="22"/>
                <w:color w:val="auto"/>
                <w:w w:val="91"/>
              </w:rPr>
              <w:t>Acknowledgment of Lenders and Issuing Banks</w:t>
            </w:r>
          </w:p>
        </w:tc>
        <w:tc>
          <w:tcPr>
            <w:tcW w:w="1060" w:type="dxa"/>
            <w:vAlign w:val="bottom"/>
          </w:tcPr>
          <w:p>
            <w:pPr>
              <w:jc w:val="right"/>
              <w:ind w:right="492"/>
              <w:spacing w:after="0" w:line="216" w:lineRule="exact"/>
              <w:rPr>
                <w:sz w:val="20"/>
                <w:szCs w:val="20"/>
                <w:color w:val="auto"/>
              </w:rPr>
            </w:pPr>
            <w:r>
              <w:rPr>
                <w:rFonts w:ascii="Arial" w:cs="Arial" w:eastAsia="Arial" w:hAnsi="Arial"/>
                <w:sz w:val="22"/>
                <w:szCs w:val="22"/>
                <w:color w:val="auto"/>
              </w:rPr>
              <w:t>130</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60" w:type="dxa"/>
            <w:vAlign w:val="bottom"/>
            <w:gridSpan w:val="2"/>
          </w:tcPr>
          <w:p>
            <w:pPr>
              <w:ind w:left="340"/>
              <w:spacing w:after="0"/>
              <w:rPr>
                <w:sz w:val="20"/>
                <w:szCs w:val="20"/>
                <w:color w:val="auto"/>
              </w:rPr>
            </w:pPr>
            <w:r>
              <w:rPr>
                <w:rFonts w:ascii="Arial" w:cs="Arial" w:eastAsia="Arial" w:hAnsi="Arial"/>
                <w:sz w:val="22"/>
                <w:szCs w:val="22"/>
                <w:color w:val="auto"/>
                <w:w w:val="98"/>
              </w:rPr>
              <w:t>Section 8.12</w:t>
            </w:r>
          </w:p>
        </w:tc>
        <w:tc>
          <w:tcPr>
            <w:tcW w:w="6780" w:type="dxa"/>
            <w:vAlign w:val="bottom"/>
            <w:gridSpan w:val="11"/>
          </w:tcPr>
          <w:p>
            <w:pPr>
              <w:ind w:left="60"/>
              <w:spacing w:after="0"/>
              <w:rPr>
                <w:sz w:val="20"/>
                <w:szCs w:val="20"/>
                <w:color w:val="auto"/>
              </w:rPr>
            </w:pPr>
            <w:r>
              <w:rPr>
                <w:rFonts w:ascii="Arial" w:cs="Arial" w:eastAsia="Arial" w:hAnsi="Arial"/>
                <w:sz w:val="22"/>
                <w:szCs w:val="22"/>
                <w:color w:val="auto"/>
              </w:rPr>
              <w:t>Authorization of the Administrative Agent under German Law  132</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22"/>
                <w:szCs w:val="22"/>
                <w:color w:val="auto"/>
              </w:rPr>
              <w:t>ARTICLE 9</w:t>
            </w:r>
          </w:p>
        </w:tc>
        <w:tc>
          <w:tcPr>
            <w:tcW w:w="1340" w:type="dxa"/>
            <w:vAlign w:val="bottom"/>
            <w:gridSpan w:val="2"/>
          </w:tcPr>
          <w:p>
            <w:pPr>
              <w:ind w:left="40"/>
              <w:spacing w:after="0"/>
              <w:rPr>
                <w:sz w:val="20"/>
                <w:szCs w:val="20"/>
                <w:color w:val="auto"/>
              </w:rPr>
            </w:pPr>
            <w:r>
              <w:rPr>
                <w:rFonts w:ascii="Arial" w:cs="Arial" w:eastAsia="Arial" w:hAnsi="Arial"/>
                <w:sz w:val="22"/>
                <w:szCs w:val="22"/>
                <w:color w:val="auto"/>
              </w:rPr>
              <w:t>GUARANTY</w:t>
            </w:r>
          </w:p>
        </w:tc>
        <w:tc>
          <w:tcPr>
            <w:tcW w:w="640" w:type="dxa"/>
            <w:vAlign w:val="bottom"/>
            <w:gridSpan w:val="2"/>
          </w:tcPr>
          <w:p>
            <w:pPr>
              <w:jc w:val="right"/>
              <w:ind w:right="72"/>
              <w:spacing w:after="0"/>
              <w:rPr>
                <w:sz w:val="20"/>
                <w:szCs w:val="20"/>
                <w:color w:val="auto"/>
              </w:rPr>
            </w:pPr>
            <w:r>
              <w:rPr>
                <w:rFonts w:ascii="Arial" w:cs="Arial" w:eastAsia="Arial" w:hAnsi="Arial"/>
                <w:sz w:val="22"/>
                <w:szCs w:val="22"/>
                <w:color w:val="auto"/>
              </w:rPr>
              <w:t>133</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60" w:type="dxa"/>
            <w:vAlign w:val="bottom"/>
            <w:gridSpan w:val="2"/>
          </w:tcPr>
          <w:p>
            <w:pPr>
              <w:ind w:left="340"/>
              <w:spacing w:after="0"/>
              <w:rPr>
                <w:sz w:val="20"/>
                <w:szCs w:val="20"/>
                <w:color w:val="auto"/>
              </w:rPr>
            </w:pPr>
            <w:r>
              <w:rPr>
                <w:rFonts w:ascii="Arial" w:cs="Arial" w:eastAsia="Arial" w:hAnsi="Arial"/>
                <w:sz w:val="22"/>
                <w:szCs w:val="22"/>
                <w:color w:val="auto"/>
                <w:w w:val="98"/>
              </w:rPr>
              <w:t>Section 9.01</w:t>
            </w:r>
          </w:p>
        </w:tc>
        <w:tc>
          <w:tcPr>
            <w:tcW w:w="1020" w:type="dxa"/>
            <w:vAlign w:val="bottom"/>
          </w:tcPr>
          <w:p>
            <w:pPr>
              <w:ind w:left="60"/>
              <w:spacing w:after="0"/>
              <w:rPr>
                <w:sz w:val="20"/>
                <w:szCs w:val="20"/>
                <w:color w:val="auto"/>
              </w:rPr>
            </w:pPr>
            <w:r>
              <w:rPr>
                <w:rFonts w:ascii="Arial" w:cs="Arial" w:eastAsia="Arial" w:hAnsi="Arial"/>
                <w:sz w:val="22"/>
                <w:szCs w:val="22"/>
                <w:color w:val="auto"/>
              </w:rPr>
              <w:t>Guaranty</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133</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vMerge w:val="restart"/>
          </w:tcPr>
          <w:p>
            <w:pPr>
              <w:jc w:val="right"/>
              <w:ind w:right="452"/>
              <w:spacing w:after="0"/>
              <w:rPr>
                <w:sz w:val="20"/>
                <w:szCs w:val="20"/>
                <w:color w:val="auto"/>
              </w:rPr>
            </w:pPr>
            <w:r>
              <w:rPr>
                <w:rFonts w:ascii="Arial" w:cs="Arial" w:eastAsia="Arial" w:hAnsi="Arial"/>
                <w:sz w:val="22"/>
                <w:szCs w:val="22"/>
                <w:color w:val="auto"/>
                <w:w w:val="81"/>
              </w:rPr>
              <w:t>135</w:t>
            </w: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9.02</w:t>
            </w:r>
          </w:p>
        </w:tc>
        <w:tc>
          <w:tcPr>
            <w:tcW w:w="2140" w:type="dxa"/>
            <w:vAlign w:val="bottom"/>
            <w:gridSpan w:val="5"/>
          </w:tcPr>
          <w:p>
            <w:pPr>
              <w:ind w:left="60"/>
              <w:spacing w:after="0" w:line="216" w:lineRule="exact"/>
              <w:rPr>
                <w:sz w:val="20"/>
                <w:szCs w:val="20"/>
                <w:color w:val="auto"/>
              </w:rPr>
            </w:pPr>
            <w:r>
              <w:rPr>
                <w:rFonts w:ascii="Arial" w:cs="Arial" w:eastAsia="Arial" w:hAnsi="Arial"/>
                <w:sz w:val="22"/>
                <w:szCs w:val="22"/>
                <w:color w:val="auto"/>
                <w:w w:val="93"/>
              </w:rPr>
              <w:t>Additional Agreements</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9.03</w:t>
            </w:r>
          </w:p>
        </w:tc>
        <w:tc>
          <w:tcPr>
            <w:tcW w:w="1260" w:type="dxa"/>
            <w:vAlign w:val="bottom"/>
            <w:gridSpan w:val="2"/>
          </w:tcPr>
          <w:p>
            <w:pPr>
              <w:ind w:left="60"/>
              <w:spacing w:after="0" w:line="216" w:lineRule="exact"/>
              <w:rPr>
                <w:sz w:val="20"/>
                <w:szCs w:val="20"/>
                <w:color w:val="auto"/>
              </w:rPr>
            </w:pPr>
            <w:r>
              <w:rPr>
                <w:rFonts w:ascii="Arial" w:cs="Arial" w:eastAsia="Arial" w:hAnsi="Arial"/>
                <w:sz w:val="22"/>
                <w:szCs w:val="22"/>
                <w:color w:val="auto"/>
              </w:rPr>
              <w:t>Information</w:t>
            </w:r>
          </w:p>
        </w:tc>
        <w:tc>
          <w:tcPr>
            <w:tcW w:w="400" w:type="dxa"/>
            <w:vAlign w:val="bottom"/>
          </w:tcPr>
          <w:p>
            <w:pPr>
              <w:jc w:val="right"/>
              <w:spacing w:after="0" w:line="216" w:lineRule="exact"/>
              <w:rPr>
                <w:sz w:val="20"/>
                <w:szCs w:val="20"/>
                <w:color w:val="auto"/>
              </w:rPr>
            </w:pPr>
            <w:r>
              <w:rPr>
                <w:rFonts w:ascii="Arial" w:cs="Arial" w:eastAsia="Arial" w:hAnsi="Arial"/>
                <w:sz w:val="22"/>
                <w:szCs w:val="22"/>
                <w:color w:val="auto"/>
                <w:w w:val="97"/>
              </w:rPr>
              <w:t>136</w:t>
            </w:r>
          </w:p>
        </w:tc>
        <w:tc>
          <w:tcPr>
            <w:tcW w:w="140" w:type="dxa"/>
            <w:vAlign w:val="bottom"/>
          </w:tcPr>
          <w:p>
            <w:pPr>
              <w:spacing w:after="0"/>
              <w:rPr>
                <w:sz w:val="18"/>
                <w:szCs w:val="18"/>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22"/>
                <w:szCs w:val="22"/>
                <w:color w:val="auto"/>
              </w:rPr>
              <w:t>136</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9.04</w:t>
            </w:r>
          </w:p>
        </w:tc>
        <w:tc>
          <w:tcPr>
            <w:tcW w:w="1660" w:type="dxa"/>
            <w:vAlign w:val="bottom"/>
            <w:gridSpan w:val="3"/>
          </w:tcPr>
          <w:p>
            <w:pPr>
              <w:ind w:left="60"/>
              <w:spacing w:after="0" w:line="216" w:lineRule="exact"/>
              <w:rPr>
                <w:sz w:val="20"/>
                <w:szCs w:val="20"/>
                <w:color w:val="auto"/>
              </w:rPr>
            </w:pPr>
            <w:r>
              <w:rPr>
                <w:rFonts w:ascii="Arial" w:cs="Arial" w:eastAsia="Arial" w:hAnsi="Arial"/>
                <w:sz w:val="22"/>
                <w:szCs w:val="22"/>
                <w:color w:val="auto"/>
                <w:w w:val="88"/>
              </w:rPr>
              <w:t>Guarantor Notices</w:t>
            </w:r>
          </w:p>
        </w:tc>
        <w:tc>
          <w:tcPr>
            <w:tcW w:w="1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9.05</w:t>
            </w:r>
          </w:p>
        </w:tc>
        <w:tc>
          <w:tcPr>
            <w:tcW w:w="1260" w:type="dxa"/>
            <w:vAlign w:val="bottom"/>
            <w:gridSpan w:val="2"/>
          </w:tcPr>
          <w:p>
            <w:pPr>
              <w:ind w:left="60"/>
              <w:spacing w:after="0" w:line="216" w:lineRule="exact"/>
              <w:rPr>
                <w:sz w:val="20"/>
                <w:szCs w:val="20"/>
                <w:color w:val="auto"/>
              </w:rPr>
            </w:pPr>
            <w:r>
              <w:rPr>
                <w:rFonts w:ascii="Arial" w:cs="Arial" w:eastAsia="Arial" w:hAnsi="Arial"/>
                <w:sz w:val="22"/>
                <w:szCs w:val="22"/>
                <w:color w:val="auto"/>
              </w:rPr>
              <w:t>Termination</w:t>
            </w:r>
          </w:p>
        </w:tc>
        <w:tc>
          <w:tcPr>
            <w:tcW w:w="400" w:type="dxa"/>
            <w:vAlign w:val="bottom"/>
          </w:tcPr>
          <w:p>
            <w:pPr>
              <w:jc w:val="right"/>
              <w:spacing w:after="0" w:line="216" w:lineRule="exact"/>
              <w:rPr>
                <w:sz w:val="20"/>
                <w:szCs w:val="20"/>
                <w:color w:val="auto"/>
              </w:rPr>
            </w:pPr>
            <w:r>
              <w:rPr>
                <w:rFonts w:ascii="Arial" w:cs="Arial" w:eastAsia="Arial" w:hAnsi="Arial"/>
                <w:sz w:val="22"/>
                <w:szCs w:val="22"/>
                <w:color w:val="auto"/>
              </w:rPr>
              <w:t>136</w:t>
            </w:r>
          </w:p>
        </w:tc>
        <w:tc>
          <w:tcPr>
            <w:tcW w:w="480" w:type="dxa"/>
            <w:vAlign w:val="bottom"/>
            <w:gridSpan w:val="2"/>
            <w:vMerge w:val="restart"/>
          </w:tcPr>
          <w:p>
            <w:pPr>
              <w:jc w:val="right"/>
              <w:ind w:right="32"/>
              <w:spacing w:after="0"/>
              <w:rPr>
                <w:sz w:val="20"/>
                <w:szCs w:val="20"/>
                <w:color w:val="auto"/>
              </w:rPr>
            </w:pPr>
            <w:r>
              <w:rPr>
                <w:rFonts w:ascii="Arial" w:cs="Arial" w:eastAsia="Arial" w:hAnsi="Arial"/>
                <w:sz w:val="22"/>
                <w:szCs w:val="22"/>
                <w:color w:val="auto"/>
                <w:w w:val="87"/>
              </w:rPr>
              <w:t>137</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9.06</w:t>
            </w:r>
          </w:p>
        </w:tc>
        <w:tc>
          <w:tcPr>
            <w:tcW w:w="1660" w:type="dxa"/>
            <w:vAlign w:val="bottom"/>
            <w:gridSpan w:val="3"/>
          </w:tcPr>
          <w:p>
            <w:pPr>
              <w:ind w:left="60"/>
              <w:spacing w:after="0" w:line="216" w:lineRule="exact"/>
              <w:rPr>
                <w:sz w:val="20"/>
                <w:szCs w:val="20"/>
                <w:color w:val="auto"/>
              </w:rPr>
            </w:pPr>
            <w:r>
              <w:rPr>
                <w:rFonts w:ascii="Arial" w:cs="Arial" w:eastAsia="Arial" w:hAnsi="Arial"/>
                <w:sz w:val="22"/>
                <w:szCs w:val="22"/>
                <w:color w:val="auto"/>
              </w:rPr>
              <w:t>Right of Set Off</w:t>
            </w:r>
          </w:p>
        </w:tc>
        <w:tc>
          <w:tcPr>
            <w:tcW w:w="480" w:type="dxa"/>
            <w:vAlign w:val="bottom"/>
            <w:gridSpan w:val="2"/>
            <w:vMerge w:val="continue"/>
          </w:tcPr>
          <w:p>
            <w:pPr>
              <w:spacing w:after="0"/>
              <w:rPr>
                <w:sz w:val="18"/>
                <w:szCs w:val="18"/>
                <w:color w:val="auto"/>
              </w:rPr>
            </w:pPr>
          </w:p>
        </w:tc>
        <w:tc>
          <w:tcPr>
            <w:tcW w:w="1040" w:type="dxa"/>
            <w:vAlign w:val="bottom"/>
            <w:gridSpan w:val="2"/>
            <w:vMerge w:val="restart"/>
          </w:tcPr>
          <w:p>
            <w:pPr>
              <w:jc w:val="right"/>
              <w:ind w:right="532"/>
              <w:spacing w:after="0"/>
              <w:rPr>
                <w:sz w:val="20"/>
                <w:szCs w:val="20"/>
                <w:color w:val="auto"/>
              </w:rPr>
            </w:pPr>
            <w:r>
              <w:rPr>
                <w:rFonts w:ascii="Arial" w:cs="Arial" w:eastAsia="Arial" w:hAnsi="Arial"/>
                <w:sz w:val="22"/>
                <w:szCs w:val="22"/>
                <w:color w:val="auto"/>
              </w:rPr>
              <w:t>137</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9.07</w:t>
            </w:r>
          </w:p>
        </w:tc>
        <w:tc>
          <w:tcPr>
            <w:tcW w:w="2140" w:type="dxa"/>
            <w:vAlign w:val="bottom"/>
            <w:gridSpan w:val="5"/>
          </w:tcPr>
          <w:p>
            <w:pPr>
              <w:ind w:left="60"/>
              <w:spacing w:after="0" w:line="216" w:lineRule="exact"/>
              <w:rPr>
                <w:sz w:val="20"/>
                <w:szCs w:val="20"/>
                <w:color w:val="auto"/>
              </w:rPr>
            </w:pPr>
            <w:r>
              <w:rPr>
                <w:rFonts w:ascii="Arial" w:cs="Arial" w:eastAsia="Arial" w:hAnsi="Arial"/>
                <w:sz w:val="22"/>
                <w:szCs w:val="22"/>
                <w:color w:val="auto"/>
                <w:w w:val="96"/>
              </w:rPr>
              <w:t>Additional Guarantors</w:t>
            </w:r>
          </w:p>
        </w:tc>
        <w:tc>
          <w:tcPr>
            <w:tcW w:w="10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9.08</w:t>
            </w:r>
          </w:p>
        </w:tc>
        <w:tc>
          <w:tcPr>
            <w:tcW w:w="2140" w:type="dxa"/>
            <w:vAlign w:val="bottom"/>
            <w:gridSpan w:val="5"/>
          </w:tcPr>
          <w:p>
            <w:pPr>
              <w:ind w:left="60"/>
              <w:spacing w:after="0" w:line="216" w:lineRule="exact"/>
              <w:rPr>
                <w:sz w:val="20"/>
                <w:szCs w:val="20"/>
                <w:color w:val="auto"/>
              </w:rPr>
            </w:pPr>
            <w:r>
              <w:rPr>
                <w:rFonts w:ascii="Arial" w:cs="Arial" w:eastAsia="Arial" w:hAnsi="Arial"/>
                <w:sz w:val="22"/>
                <w:szCs w:val="22"/>
                <w:color w:val="auto"/>
              </w:rPr>
              <w:t>Article 9 Severability</w:t>
            </w:r>
          </w:p>
        </w:tc>
        <w:tc>
          <w:tcPr>
            <w:tcW w:w="1040" w:type="dxa"/>
            <w:vAlign w:val="bottom"/>
            <w:gridSpan w:val="2"/>
          </w:tcPr>
          <w:p>
            <w:pPr>
              <w:jc w:val="right"/>
              <w:ind w:right="612"/>
              <w:spacing w:after="0" w:line="216" w:lineRule="exact"/>
              <w:rPr>
                <w:sz w:val="20"/>
                <w:szCs w:val="20"/>
                <w:color w:val="auto"/>
              </w:rPr>
            </w:pPr>
            <w:r>
              <w:rPr>
                <w:rFonts w:ascii="Arial" w:cs="Arial" w:eastAsia="Arial" w:hAnsi="Arial"/>
                <w:sz w:val="22"/>
                <w:szCs w:val="22"/>
                <w:color w:val="auto"/>
                <w:w w:val="81"/>
              </w:rPr>
              <w:t>137</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vMerge w:val="restart"/>
          </w:tcPr>
          <w:p>
            <w:pPr>
              <w:jc w:val="right"/>
              <w:ind w:right="552"/>
              <w:spacing w:after="0"/>
              <w:rPr>
                <w:sz w:val="20"/>
                <w:szCs w:val="20"/>
                <w:color w:val="auto"/>
              </w:rPr>
            </w:pPr>
            <w:r>
              <w:rPr>
                <w:rFonts w:ascii="Arial" w:cs="Arial" w:eastAsia="Arial" w:hAnsi="Arial"/>
                <w:sz w:val="22"/>
                <w:szCs w:val="22"/>
                <w:color w:val="auto"/>
              </w:rPr>
              <w:t>137</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98"/>
              </w:rPr>
              <w:t>Section 9.09</w:t>
            </w:r>
          </w:p>
        </w:tc>
        <w:tc>
          <w:tcPr>
            <w:tcW w:w="4300" w:type="dxa"/>
            <w:vAlign w:val="bottom"/>
            <w:gridSpan w:val="9"/>
          </w:tcPr>
          <w:p>
            <w:pPr>
              <w:ind w:left="60"/>
              <w:spacing w:after="0" w:line="216" w:lineRule="exact"/>
              <w:rPr>
                <w:sz w:val="20"/>
                <w:szCs w:val="20"/>
                <w:color w:val="auto"/>
              </w:rPr>
            </w:pPr>
            <w:r>
              <w:rPr>
                <w:rFonts w:ascii="Arial" w:cs="Arial" w:eastAsia="Arial" w:hAnsi="Arial"/>
                <w:sz w:val="22"/>
                <w:szCs w:val="22"/>
                <w:color w:val="auto"/>
                <w:w w:val="93"/>
              </w:rPr>
              <w:t>Guaranty Limitation of the German Guarantors</w:t>
            </w:r>
          </w:p>
        </w:tc>
        <w:tc>
          <w:tcPr>
            <w:tcW w:w="10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60" w:type="dxa"/>
            <w:vAlign w:val="bottom"/>
            <w:gridSpan w:val="2"/>
          </w:tcPr>
          <w:p>
            <w:pPr>
              <w:ind w:left="340"/>
              <w:spacing w:after="0"/>
              <w:rPr>
                <w:sz w:val="20"/>
                <w:szCs w:val="20"/>
                <w:color w:val="auto"/>
              </w:rPr>
            </w:pPr>
            <w:r>
              <w:rPr>
                <w:rFonts w:ascii="Arial" w:cs="Arial" w:eastAsia="Arial" w:hAnsi="Arial"/>
                <w:sz w:val="22"/>
                <w:szCs w:val="22"/>
                <w:color w:val="auto"/>
                <w:w w:val="98"/>
              </w:rPr>
              <w:t>Section 9.10</w:t>
            </w:r>
          </w:p>
        </w:tc>
        <w:tc>
          <w:tcPr>
            <w:tcW w:w="1800" w:type="dxa"/>
            <w:vAlign w:val="bottom"/>
            <w:gridSpan w:val="4"/>
          </w:tcPr>
          <w:p>
            <w:pPr>
              <w:ind w:left="60"/>
              <w:spacing w:after="0"/>
              <w:rPr>
                <w:sz w:val="20"/>
                <w:szCs w:val="20"/>
                <w:color w:val="auto"/>
              </w:rPr>
            </w:pPr>
            <w:r>
              <w:rPr>
                <w:rFonts w:ascii="Arial" w:cs="Arial" w:eastAsia="Arial" w:hAnsi="Arial"/>
                <w:sz w:val="22"/>
                <w:szCs w:val="22"/>
                <w:color w:val="auto"/>
                <w:w w:val="93"/>
              </w:rPr>
              <w:t>Philippines Entities</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141</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22"/>
                <w:szCs w:val="22"/>
                <w:color w:val="auto"/>
                <w:w w:val="98"/>
              </w:rPr>
              <w:t>ARTICLE 10</w:t>
            </w:r>
          </w:p>
        </w:tc>
        <w:tc>
          <w:tcPr>
            <w:tcW w:w="1980" w:type="dxa"/>
            <w:vAlign w:val="bottom"/>
            <w:gridSpan w:val="4"/>
          </w:tcPr>
          <w:p>
            <w:pPr>
              <w:jc w:val="right"/>
              <w:spacing w:after="0"/>
              <w:rPr>
                <w:sz w:val="20"/>
                <w:szCs w:val="20"/>
                <w:color w:val="auto"/>
              </w:rPr>
            </w:pPr>
            <w:r>
              <w:rPr>
                <w:rFonts w:ascii="Arial" w:cs="Arial" w:eastAsia="Arial" w:hAnsi="Arial"/>
                <w:sz w:val="22"/>
                <w:szCs w:val="22"/>
                <w:color w:val="auto"/>
              </w:rPr>
              <w:t>MISCELLANEOUS</w:t>
            </w:r>
          </w:p>
        </w:tc>
        <w:tc>
          <w:tcPr>
            <w:tcW w:w="140" w:type="dxa"/>
            <w:vAlign w:val="bottom"/>
          </w:tcPr>
          <w:p>
            <w:pPr>
              <w:spacing w:after="0"/>
              <w:rPr>
                <w:sz w:val="24"/>
                <w:szCs w:val="24"/>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22"/>
                <w:szCs w:val="22"/>
                <w:color w:val="auto"/>
                <w:w w:val="97"/>
              </w:rPr>
              <w:t>142</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60" w:type="dxa"/>
            <w:vAlign w:val="bottom"/>
            <w:gridSpan w:val="2"/>
          </w:tcPr>
          <w:p>
            <w:pPr>
              <w:ind w:left="340"/>
              <w:spacing w:after="0"/>
              <w:rPr>
                <w:sz w:val="20"/>
                <w:szCs w:val="20"/>
                <w:color w:val="auto"/>
              </w:rPr>
            </w:pPr>
            <w:r>
              <w:rPr>
                <w:rFonts w:ascii="Arial" w:cs="Arial" w:eastAsia="Arial" w:hAnsi="Arial"/>
                <w:sz w:val="22"/>
                <w:szCs w:val="22"/>
                <w:color w:val="auto"/>
                <w:w w:val="89"/>
              </w:rPr>
              <w:t>Section 10.01</w:t>
            </w:r>
          </w:p>
        </w:tc>
        <w:tc>
          <w:tcPr>
            <w:tcW w:w="1020" w:type="dxa"/>
            <w:vAlign w:val="bottom"/>
          </w:tcPr>
          <w:p>
            <w:pPr>
              <w:ind w:left="180"/>
              <w:spacing w:after="0"/>
              <w:rPr>
                <w:sz w:val="20"/>
                <w:szCs w:val="20"/>
                <w:color w:val="auto"/>
              </w:rPr>
            </w:pPr>
            <w:r>
              <w:rPr>
                <w:rFonts w:ascii="Arial" w:cs="Arial" w:eastAsia="Arial" w:hAnsi="Arial"/>
                <w:sz w:val="22"/>
                <w:szCs w:val="22"/>
                <w:color w:val="auto"/>
              </w:rPr>
              <w:t>Notices</w:t>
            </w:r>
          </w:p>
        </w:tc>
        <w:tc>
          <w:tcPr>
            <w:tcW w:w="640" w:type="dxa"/>
            <w:vAlign w:val="bottom"/>
            <w:gridSpan w:val="2"/>
          </w:tcPr>
          <w:p>
            <w:pPr>
              <w:jc w:val="right"/>
              <w:ind w:right="172"/>
              <w:spacing w:after="0"/>
              <w:rPr>
                <w:sz w:val="20"/>
                <w:szCs w:val="20"/>
                <w:color w:val="auto"/>
              </w:rPr>
            </w:pPr>
            <w:r>
              <w:rPr>
                <w:rFonts w:ascii="Arial" w:cs="Arial" w:eastAsia="Arial" w:hAnsi="Arial"/>
                <w:sz w:val="22"/>
                <w:szCs w:val="22"/>
                <w:color w:val="auto"/>
                <w:w w:val="92"/>
              </w:rPr>
              <w:t>142</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vMerge w:val="restart"/>
          </w:tcPr>
          <w:p>
            <w:pPr>
              <w:jc w:val="right"/>
              <w:ind w:right="392"/>
              <w:spacing w:after="0"/>
              <w:rPr>
                <w:sz w:val="20"/>
                <w:szCs w:val="20"/>
                <w:color w:val="auto"/>
              </w:rPr>
            </w:pPr>
            <w:r>
              <w:rPr>
                <w:rFonts w:ascii="Arial" w:cs="Arial" w:eastAsia="Arial" w:hAnsi="Arial"/>
                <w:sz w:val="22"/>
                <w:szCs w:val="22"/>
                <w:color w:val="auto"/>
                <w:w w:val="97"/>
              </w:rPr>
              <w:t>144</w:t>
            </w: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10.02</w:t>
            </w:r>
          </w:p>
        </w:tc>
        <w:tc>
          <w:tcPr>
            <w:tcW w:w="2140" w:type="dxa"/>
            <w:vAlign w:val="bottom"/>
            <w:gridSpan w:val="5"/>
          </w:tcPr>
          <w:p>
            <w:pPr>
              <w:ind w:left="180"/>
              <w:spacing w:after="0" w:line="216" w:lineRule="exact"/>
              <w:rPr>
                <w:sz w:val="20"/>
                <w:szCs w:val="20"/>
                <w:color w:val="auto"/>
              </w:rPr>
            </w:pPr>
            <w:r>
              <w:rPr>
                <w:rFonts w:ascii="Arial" w:cs="Arial" w:eastAsia="Arial" w:hAnsi="Arial"/>
                <w:sz w:val="22"/>
                <w:szCs w:val="22"/>
                <w:color w:val="auto"/>
                <w:w w:val="87"/>
              </w:rPr>
              <w:t>Waivers; Amendments</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22"/>
                <w:szCs w:val="22"/>
                <w:color w:val="auto"/>
                <w:w w:val="87"/>
              </w:rPr>
              <w:t>145</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10.03</w:t>
            </w:r>
          </w:p>
        </w:tc>
        <w:tc>
          <w:tcPr>
            <w:tcW w:w="3700" w:type="dxa"/>
            <w:vAlign w:val="bottom"/>
            <w:gridSpan w:val="8"/>
          </w:tcPr>
          <w:p>
            <w:pPr>
              <w:ind w:left="180"/>
              <w:spacing w:after="0" w:line="216" w:lineRule="exact"/>
              <w:rPr>
                <w:sz w:val="20"/>
                <w:szCs w:val="20"/>
                <w:color w:val="auto"/>
              </w:rPr>
            </w:pPr>
            <w:r>
              <w:rPr>
                <w:rFonts w:ascii="Arial" w:cs="Arial" w:eastAsia="Arial" w:hAnsi="Arial"/>
                <w:sz w:val="22"/>
                <w:szCs w:val="22"/>
                <w:color w:val="auto"/>
                <w:w w:val="93"/>
              </w:rPr>
              <w:t>Expenses; Indemnity; Damage Waiver</w:t>
            </w:r>
          </w:p>
        </w:tc>
        <w:tc>
          <w:tcPr>
            <w:tcW w:w="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10.04</w:t>
            </w:r>
          </w:p>
        </w:tc>
        <w:tc>
          <w:tcPr>
            <w:tcW w:w="2300" w:type="dxa"/>
            <w:vAlign w:val="bottom"/>
            <w:gridSpan w:val="6"/>
          </w:tcPr>
          <w:p>
            <w:pPr>
              <w:ind w:left="180"/>
              <w:spacing w:after="0" w:line="216" w:lineRule="exact"/>
              <w:rPr>
                <w:sz w:val="20"/>
                <w:szCs w:val="20"/>
                <w:color w:val="auto"/>
              </w:rPr>
            </w:pPr>
            <w:r>
              <w:rPr>
                <w:rFonts w:ascii="Arial" w:cs="Arial" w:eastAsia="Arial" w:hAnsi="Arial"/>
                <w:sz w:val="22"/>
                <w:szCs w:val="22"/>
                <w:color w:val="auto"/>
                <w:w w:val="87"/>
              </w:rPr>
              <w:t>Successors and Assigns</w:t>
            </w:r>
          </w:p>
        </w:tc>
        <w:tc>
          <w:tcPr>
            <w:tcW w:w="880" w:type="dxa"/>
            <w:vAlign w:val="bottom"/>
          </w:tcPr>
          <w:p>
            <w:pPr>
              <w:jc w:val="right"/>
              <w:ind w:right="312"/>
              <w:spacing w:after="0" w:line="216" w:lineRule="exact"/>
              <w:rPr>
                <w:sz w:val="20"/>
                <w:szCs w:val="20"/>
                <w:color w:val="auto"/>
              </w:rPr>
            </w:pPr>
            <w:r>
              <w:rPr>
                <w:rFonts w:ascii="Arial" w:cs="Arial" w:eastAsia="Arial" w:hAnsi="Arial"/>
                <w:sz w:val="22"/>
                <w:szCs w:val="22"/>
                <w:color w:val="auto"/>
              </w:rPr>
              <w:t>147</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10.05</w:t>
            </w:r>
          </w:p>
        </w:tc>
        <w:tc>
          <w:tcPr>
            <w:tcW w:w="1020" w:type="dxa"/>
            <w:vAlign w:val="bottom"/>
          </w:tcPr>
          <w:p>
            <w:pPr>
              <w:ind w:left="180"/>
              <w:spacing w:after="0" w:line="216" w:lineRule="exact"/>
              <w:rPr>
                <w:sz w:val="20"/>
                <w:szCs w:val="20"/>
                <w:color w:val="auto"/>
              </w:rPr>
            </w:pPr>
            <w:r>
              <w:rPr>
                <w:rFonts w:ascii="Arial" w:cs="Arial" w:eastAsia="Arial" w:hAnsi="Arial"/>
                <w:sz w:val="22"/>
                <w:szCs w:val="22"/>
                <w:color w:val="auto"/>
              </w:rPr>
              <w:t>Survival</w:t>
            </w:r>
          </w:p>
        </w:tc>
        <w:tc>
          <w:tcPr>
            <w:tcW w:w="640" w:type="dxa"/>
            <w:vAlign w:val="bottom"/>
            <w:gridSpan w:val="2"/>
          </w:tcPr>
          <w:p>
            <w:pPr>
              <w:jc w:val="right"/>
              <w:ind w:right="112"/>
              <w:spacing w:after="0" w:line="216" w:lineRule="exact"/>
              <w:rPr>
                <w:sz w:val="20"/>
                <w:szCs w:val="20"/>
                <w:color w:val="auto"/>
              </w:rPr>
            </w:pPr>
            <w:r>
              <w:rPr>
                <w:rFonts w:ascii="Arial" w:cs="Arial" w:eastAsia="Arial" w:hAnsi="Arial"/>
                <w:sz w:val="22"/>
                <w:szCs w:val="22"/>
                <w:color w:val="auto"/>
              </w:rPr>
              <w:t>152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22"/>
                <w:szCs w:val="22"/>
                <w:color w:val="auto"/>
              </w:rPr>
              <w:t>152</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10.06</w:t>
            </w:r>
          </w:p>
        </w:tc>
        <w:tc>
          <w:tcPr>
            <w:tcW w:w="3700" w:type="dxa"/>
            <w:vAlign w:val="bottom"/>
            <w:gridSpan w:val="8"/>
          </w:tcPr>
          <w:p>
            <w:pPr>
              <w:ind w:left="180"/>
              <w:spacing w:after="0" w:line="216" w:lineRule="exact"/>
              <w:rPr>
                <w:sz w:val="20"/>
                <w:szCs w:val="20"/>
                <w:color w:val="auto"/>
              </w:rPr>
            </w:pPr>
            <w:r>
              <w:rPr>
                <w:rFonts w:ascii="Arial" w:cs="Arial" w:eastAsia="Arial" w:hAnsi="Arial"/>
                <w:sz w:val="22"/>
                <w:szCs w:val="22"/>
                <w:color w:val="auto"/>
                <w:w w:val="90"/>
              </w:rPr>
              <w:t>Counterparts; Integration; Effectiveness</w:t>
            </w:r>
          </w:p>
        </w:tc>
        <w:tc>
          <w:tcPr>
            <w:tcW w:w="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10.07</w:t>
            </w:r>
          </w:p>
        </w:tc>
        <w:tc>
          <w:tcPr>
            <w:tcW w:w="1260" w:type="dxa"/>
            <w:vAlign w:val="bottom"/>
            <w:gridSpan w:val="2"/>
          </w:tcPr>
          <w:p>
            <w:pPr>
              <w:ind w:left="180"/>
              <w:spacing w:after="0" w:line="216" w:lineRule="exact"/>
              <w:rPr>
                <w:sz w:val="20"/>
                <w:szCs w:val="20"/>
                <w:color w:val="auto"/>
              </w:rPr>
            </w:pPr>
            <w:r>
              <w:rPr>
                <w:rFonts w:ascii="Arial" w:cs="Arial" w:eastAsia="Arial" w:hAnsi="Arial"/>
                <w:sz w:val="22"/>
                <w:szCs w:val="22"/>
                <w:color w:val="auto"/>
                <w:w w:val="93"/>
              </w:rPr>
              <w:t>Severability</w:t>
            </w:r>
          </w:p>
        </w:tc>
        <w:tc>
          <w:tcPr>
            <w:tcW w:w="54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153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10.08</w:t>
            </w:r>
          </w:p>
        </w:tc>
        <w:tc>
          <w:tcPr>
            <w:tcW w:w="1660" w:type="dxa"/>
            <w:vAlign w:val="bottom"/>
            <w:gridSpan w:val="3"/>
          </w:tcPr>
          <w:p>
            <w:pPr>
              <w:ind w:left="180"/>
              <w:spacing w:after="0" w:line="216" w:lineRule="exact"/>
              <w:rPr>
                <w:sz w:val="20"/>
                <w:szCs w:val="20"/>
                <w:color w:val="auto"/>
              </w:rPr>
            </w:pPr>
            <w:r>
              <w:rPr>
                <w:rFonts w:ascii="Arial" w:cs="Arial" w:eastAsia="Arial" w:hAnsi="Arial"/>
                <w:sz w:val="22"/>
                <w:szCs w:val="22"/>
                <w:color w:val="auto"/>
              </w:rPr>
              <w:t>Right of Setoff</w:t>
            </w:r>
          </w:p>
        </w:tc>
        <w:tc>
          <w:tcPr>
            <w:tcW w:w="480" w:type="dxa"/>
            <w:vAlign w:val="bottom"/>
            <w:gridSpan w:val="2"/>
          </w:tcPr>
          <w:p>
            <w:pPr>
              <w:jc w:val="right"/>
              <w:ind w:right="32"/>
              <w:spacing w:after="0" w:line="216" w:lineRule="exact"/>
              <w:rPr>
                <w:sz w:val="20"/>
                <w:szCs w:val="20"/>
                <w:color w:val="auto"/>
              </w:rPr>
            </w:pPr>
            <w:r>
              <w:rPr>
                <w:rFonts w:ascii="Arial" w:cs="Arial" w:eastAsia="Arial" w:hAnsi="Arial"/>
                <w:sz w:val="22"/>
                <w:szCs w:val="22"/>
                <w:color w:val="auto"/>
                <w:w w:val="87"/>
              </w:rPr>
              <w:t>153</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vMerge w:val="restart"/>
          </w:tcPr>
          <w:p>
            <w:pPr>
              <w:jc w:val="right"/>
              <w:ind w:right="772"/>
              <w:spacing w:after="0"/>
              <w:rPr>
                <w:sz w:val="20"/>
                <w:szCs w:val="20"/>
                <w:color w:val="auto"/>
              </w:rPr>
            </w:pPr>
            <w:r>
              <w:rPr>
                <w:rFonts w:ascii="Arial" w:cs="Arial" w:eastAsia="Arial" w:hAnsi="Arial"/>
                <w:sz w:val="22"/>
                <w:szCs w:val="22"/>
                <w:color w:val="auto"/>
              </w:rPr>
              <w:t>154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10.09</w:t>
            </w:r>
          </w:p>
        </w:tc>
        <w:tc>
          <w:tcPr>
            <w:tcW w:w="5360" w:type="dxa"/>
            <w:vAlign w:val="bottom"/>
            <w:gridSpan w:val="10"/>
          </w:tcPr>
          <w:p>
            <w:pPr>
              <w:ind w:left="180"/>
              <w:spacing w:after="0" w:line="216" w:lineRule="exact"/>
              <w:rPr>
                <w:sz w:val="20"/>
                <w:szCs w:val="20"/>
                <w:color w:val="auto"/>
              </w:rPr>
            </w:pPr>
            <w:r>
              <w:rPr>
                <w:rFonts w:ascii="Arial" w:cs="Arial" w:eastAsia="Arial" w:hAnsi="Arial"/>
                <w:sz w:val="22"/>
                <w:szCs w:val="22"/>
                <w:color w:val="auto"/>
                <w:w w:val="89"/>
              </w:rPr>
              <w:t>Governing Law; Jurisdiction; Consent to Service of Process</w:t>
            </w:r>
          </w:p>
        </w:tc>
        <w:tc>
          <w:tcPr>
            <w:tcW w:w="14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10.10</w:t>
            </w:r>
          </w:p>
        </w:tc>
        <w:tc>
          <w:tcPr>
            <w:tcW w:w="2140" w:type="dxa"/>
            <w:vAlign w:val="bottom"/>
            <w:gridSpan w:val="5"/>
          </w:tcPr>
          <w:p>
            <w:pPr>
              <w:ind w:left="180"/>
              <w:spacing w:after="0" w:line="216" w:lineRule="exact"/>
              <w:rPr>
                <w:sz w:val="20"/>
                <w:szCs w:val="20"/>
                <w:color w:val="auto"/>
              </w:rPr>
            </w:pPr>
            <w:r>
              <w:rPr>
                <w:rFonts w:ascii="Arial" w:cs="Arial" w:eastAsia="Arial" w:hAnsi="Arial"/>
                <w:sz w:val="22"/>
                <w:szCs w:val="22"/>
                <w:color w:val="auto"/>
                <w:w w:val="99"/>
              </w:rPr>
              <w:t>Waiver Of Jury Trial</w:t>
            </w:r>
          </w:p>
        </w:tc>
        <w:tc>
          <w:tcPr>
            <w:tcW w:w="1040" w:type="dxa"/>
            <w:vAlign w:val="bottom"/>
            <w:gridSpan w:val="2"/>
          </w:tcPr>
          <w:p>
            <w:pPr>
              <w:jc w:val="right"/>
              <w:ind w:right="572"/>
              <w:spacing w:after="0" w:line="216" w:lineRule="exact"/>
              <w:rPr>
                <w:sz w:val="20"/>
                <w:szCs w:val="20"/>
                <w:color w:val="auto"/>
              </w:rPr>
            </w:pPr>
            <w:r>
              <w:rPr>
                <w:rFonts w:ascii="Arial" w:cs="Arial" w:eastAsia="Arial" w:hAnsi="Arial"/>
                <w:sz w:val="22"/>
                <w:szCs w:val="22"/>
                <w:color w:val="auto"/>
                <w:w w:val="92"/>
              </w:rPr>
              <w:t>155</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10.11</w:t>
            </w:r>
          </w:p>
        </w:tc>
        <w:tc>
          <w:tcPr>
            <w:tcW w:w="1020" w:type="dxa"/>
            <w:vAlign w:val="bottom"/>
          </w:tcPr>
          <w:p>
            <w:pPr>
              <w:ind w:left="160"/>
              <w:spacing w:after="0" w:line="216" w:lineRule="exact"/>
              <w:rPr>
                <w:sz w:val="20"/>
                <w:szCs w:val="20"/>
                <w:color w:val="auto"/>
              </w:rPr>
            </w:pPr>
            <w:r>
              <w:rPr>
                <w:rFonts w:ascii="Arial" w:cs="Arial" w:eastAsia="Arial" w:hAnsi="Arial"/>
                <w:sz w:val="22"/>
                <w:szCs w:val="22"/>
                <w:color w:val="auto"/>
                <w:w w:val="90"/>
              </w:rPr>
              <w:t>Headings</w:t>
            </w:r>
          </w:p>
        </w:tc>
        <w:tc>
          <w:tcPr>
            <w:tcW w:w="640" w:type="dxa"/>
            <w:vAlign w:val="bottom"/>
            <w:gridSpan w:val="2"/>
          </w:tcPr>
          <w:p>
            <w:pPr>
              <w:jc w:val="right"/>
              <w:ind w:right="32"/>
              <w:spacing w:after="0" w:line="216" w:lineRule="exact"/>
              <w:rPr>
                <w:sz w:val="20"/>
                <w:szCs w:val="20"/>
                <w:color w:val="auto"/>
              </w:rPr>
            </w:pPr>
            <w:r>
              <w:rPr>
                <w:rFonts w:ascii="Arial" w:cs="Arial" w:eastAsia="Arial" w:hAnsi="Arial"/>
                <w:sz w:val="22"/>
                <w:szCs w:val="22"/>
                <w:color w:val="auto"/>
              </w:rPr>
              <w:t>155</w:t>
            </w:r>
          </w:p>
        </w:tc>
        <w:tc>
          <w:tcPr>
            <w:tcW w:w="480" w:type="dxa"/>
            <w:vAlign w:val="bottom"/>
            <w:gridSpan w:val="2"/>
            <w:vMerge w:val="restart"/>
          </w:tcPr>
          <w:p>
            <w:pPr>
              <w:jc w:val="right"/>
              <w:ind w:right="12"/>
              <w:spacing w:after="0"/>
              <w:rPr>
                <w:sz w:val="20"/>
                <w:szCs w:val="20"/>
                <w:color w:val="auto"/>
              </w:rPr>
            </w:pPr>
            <w:r>
              <w:rPr>
                <w:rFonts w:ascii="Arial" w:cs="Arial" w:eastAsia="Arial" w:hAnsi="Arial"/>
                <w:sz w:val="22"/>
                <w:szCs w:val="22"/>
                <w:color w:val="auto"/>
                <w:w w:val="92"/>
              </w:rPr>
              <w:t>155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10.12</w:t>
            </w:r>
          </w:p>
        </w:tc>
        <w:tc>
          <w:tcPr>
            <w:tcW w:w="1660" w:type="dxa"/>
            <w:vAlign w:val="bottom"/>
            <w:gridSpan w:val="3"/>
          </w:tcPr>
          <w:p>
            <w:pPr>
              <w:ind w:left="180"/>
              <w:spacing w:after="0" w:line="216" w:lineRule="exact"/>
              <w:rPr>
                <w:sz w:val="20"/>
                <w:szCs w:val="20"/>
                <w:color w:val="auto"/>
              </w:rPr>
            </w:pPr>
            <w:r>
              <w:rPr>
                <w:rFonts w:ascii="Arial" w:cs="Arial" w:eastAsia="Arial" w:hAnsi="Arial"/>
                <w:sz w:val="22"/>
                <w:szCs w:val="22"/>
                <w:color w:val="auto"/>
              </w:rPr>
              <w:t>Confidentiality</w:t>
            </w:r>
          </w:p>
        </w:tc>
        <w:tc>
          <w:tcPr>
            <w:tcW w:w="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22"/>
                <w:szCs w:val="22"/>
                <w:color w:val="auto"/>
              </w:rPr>
              <w:t>156</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10.13</w:t>
            </w:r>
          </w:p>
        </w:tc>
        <w:tc>
          <w:tcPr>
            <w:tcW w:w="2300" w:type="dxa"/>
            <w:vAlign w:val="bottom"/>
            <w:gridSpan w:val="6"/>
          </w:tcPr>
          <w:p>
            <w:pPr>
              <w:ind w:left="180"/>
              <w:spacing w:after="0" w:line="216" w:lineRule="exact"/>
              <w:rPr>
                <w:sz w:val="20"/>
                <w:szCs w:val="20"/>
                <w:color w:val="auto"/>
              </w:rPr>
            </w:pPr>
            <w:r>
              <w:rPr>
                <w:rFonts w:ascii="Arial" w:cs="Arial" w:eastAsia="Arial" w:hAnsi="Arial"/>
                <w:sz w:val="22"/>
                <w:szCs w:val="22"/>
                <w:color w:val="auto"/>
                <w:w w:val="92"/>
              </w:rPr>
              <w:t>Interest Rate Limitation</w:t>
            </w:r>
          </w:p>
        </w:tc>
        <w:tc>
          <w:tcPr>
            <w:tcW w:w="8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22"/>
                <w:szCs w:val="22"/>
                <w:color w:val="auto"/>
              </w:rPr>
              <w:t>157</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10.14</w:t>
            </w:r>
          </w:p>
        </w:tc>
        <w:tc>
          <w:tcPr>
            <w:tcW w:w="3700" w:type="dxa"/>
            <w:vAlign w:val="bottom"/>
            <w:gridSpan w:val="8"/>
          </w:tcPr>
          <w:p>
            <w:pPr>
              <w:ind w:left="180"/>
              <w:spacing w:after="0" w:line="216" w:lineRule="exact"/>
              <w:rPr>
                <w:sz w:val="20"/>
                <w:szCs w:val="20"/>
                <w:color w:val="auto"/>
              </w:rPr>
            </w:pPr>
            <w:r>
              <w:rPr>
                <w:rFonts w:ascii="Arial" w:cs="Arial" w:eastAsia="Arial" w:hAnsi="Arial"/>
                <w:sz w:val="22"/>
                <w:szCs w:val="22"/>
                <w:color w:val="auto"/>
                <w:w w:val="91"/>
              </w:rPr>
              <w:t>No Advisory or Fiduciary Responsibility</w:t>
            </w:r>
          </w:p>
        </w:tc>
        <w:tc>
          <w:tcPr>
            <w:tcW w:w="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10.15</w:t>
            </w:r>
          </w:p>
        </w:tc>
        <w:tc>
          <w:tcPr>
            <w:tcW w:w="6780" w:type="dxa"/>
            <w:vAlign w:val="bottom"/>
            <w:gridSpan w:val="11"/>
          </w:tcPr>
          <w:p>
            <w:pPr>
              <w:ind w:left="180"/>
              <w:spacing w:after="0" w:line="216" w:lineRule="exact"/>
              <w:rPr>
                <w:sz w:val="20"/>
                <w:szCs w:val="20"/>
                <w:color w:val="auto"/>
              </w:rPr>
            </w:pPr>
            <w:r>
              <w:rPr>
                <w:rFonts w:ascii="Arial" w:cs="Arial" w:eastAsia="Arial" w:hAnsi="Arial"/>
                <w:sz w:val="22"/>
                <w:szCs w:val="22"/>
                <w:color w:val="auto"/>
                <w:w w:val="93"/>
              </w:rPr>
              <w:t>Electronic Execution of Assignments and Certain Other Documents  157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10.16</w:t>
            </w:r>
          </w:p>
        </w:tc>
        <w:tc>
          <w:tcPr>
            <w:tcW w:w="3180" w:type="dxa"/>
            <w:vAlign w:val="bottom"/>
            <w:gridSpan w:val="7"/>
          </w:tcPr>
          <w:p>
            <w:pPr>
              <w:ind w:left="180"/>
              <w:spacing w:after="0" w:line="216" w:lineRule="exact"/>
              <w:rPr>
                <w:sz w:val="20"/>
                <w:szCs w:val="20"/>
                <w:color w:val="auto"/>
              </w:rPr>
            </w:pPr>
            <w:r>
              <w:rPr>
                <w:rFonts w:ascii="Arial" w:cs="Arial" w:eastAsia="Arial" w:hAnsi="Arial"/>
                <w:sz w:val="22"/>
                <w:szCs w:val="22"/>
                <w:color w:val="auto"/>
              </w:rPr>
              <w:t>USA PATRIOT Act  158</w:t>
            </w:r>
          </w:p>
        </w:tc>
        <w:tc>
          <w:tcPr>
            <w:tcW w:w="520" w:type="dxa"/>
            <w:vAlign w:val="bottom"/>
            <w:vMerge w:val="restart"/>
          </w:tcPr>
          <w:p>
            <w:pPr>
              <w:jc w:val="right"/>
              <w:spacing w:after="0"/>
              <w:rPr>
                <w:sz w:val="20"/>
                <w:szCs w:val="20"/>
                <w:color w:val="auto"/>
              </w:rPr>
            </w:pPr>
            <w:r>
              <w:rPr>
                <w:rFonts w:ascii="Arial" w:cs="Arial" w:eastAsia="Arial" w:hAnsi="Arial"/>
                <w:sz w:val="22"/>
                <w:szCs w:val="22"/>
                <w:color w:val="auto"/>
              </w:rPr>
              <w:t>158</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10.17</w:t>
            </w:r>
          </w:p>
        </w:tc>
        <w:tc>
          <w:tcPr>
            <w:tcW w:w="3180" w:type="dxa"/>
            <w:vAlign w:val="bottom"/>
            <w:gridSpan w:val="7"/>
          </w:tcPr>
          <w:p>
            <w:pPr>
              <w:ind w:left="180"/>
              <w:spacing w:after="0" w:line="216" w:lineRule="exact"/>
              <w:rPr>
                <w:sz w:val="20"/>
                <w:szCs w:val="20"/>
                <w:color w:val="auto"/>
              </w:rPr>
            </w:pPr>
            <w:r>
              <w:rPr>
                <w:rFonts w:ascii="Arial" w:cs="Arial" w:eastAsia="Arial" w:hAnsi="Arial"/>
                <w:sz w:val="22"/>
                <w:szCs w:val="22"/>
                <w:color w:val="auto"/>
                <w:w w:val="89"/>
              </w:rPr>
              <w:t>Releases of Guarantors and Liens</w:t>
            </w:r>
          </w:p>
        </w:tc>
        <w:tc>
          <w:tcPr>
            <w:tcW w:w="5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10.18</w:t>
            </w:r>
          </w:p>
        </w:tc>
        <w:tc>
          <w:tcPr>
            <w:tcW w:w="5360" w:type="dxa"/>
            <w:vAlign w:val="bottom"/>
            <w:gridSpan w:val="10"/>
          </w:tcPr>
          <w:p>
            <w:pPr>
              <w:ind w:left="180"/>
              <w:spacing w:after="0" w:line="216" w:lineRule="exact"/>
              <w:rPr>
                <w:sz w:val="20"/>
                <w:szCs w:val="20"/>
                <w:color w:val="auto"/>
              </w:rPr>
            </w:pPr>
            <w:r>
              <w:rPr>
                <w:rFonts w:ascii="Arial" w:cs="Arial" w:eastAsia="Arial" w:hAnsi="Arial"/>
                <w:sz w:val="22"/>
                <w:szCs w:val="22"/>
                <w:color w:val="auto"/>
                <w:w w:val="93"/>
              </w:rPr>
              <w:t>Acknowledgement Regarding Any Supported QFCs  159</w:t>
            </w:r>
          </w:p>
        </w:tc>
        <w:tc>
          <w:tcPr>
            <w:tcW w:w="142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22"/>
                <w:szCs w:val="22"/>
                <w:color w:val="auto"/>
              </w:rPr>
              <w:t>160</w:t>
            </w: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10.19</w:t>
            </w:r>
          </w:p>
        </w:tc>
        <w:tc>
          <w:tcPr>
            <w:tcW w:w="6780" w:type="dxa"/>
            <w:vAlign w:val="bottom"/>
            <w:gridSpan w:val="11"/>
          </w:tcPr>
          <w:p>
            <w:pPr>
              <w:ind w:left="180"/>
              <w:spacing w:after="0" w:line="216" w:lineRule="exact"/>
              <w:rPr>
                <w:sz w:val="20"/>
                <w:szCs w:val="20"/>
                <w:color w:val="auto"/>
              </w:rPr>
            </w:pPr>
            <w:r>
              <w:rPr>
                <w:rFonts w:ascii="Arial" w:cs="Arial" w:eastAsia="Arial" w:hAnsi="Arial"/>
                <w:sz w:val="22"/>
                <w:szCs w:val="22"/>
                <w:color w:val="auto"/>
                <w:w w:val="91"/>
              </w:rPr>
              <w:t>Acknowledgement and Consent to Bail-In of Affected Financial Institutions</w:t>
            </w: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10.20</w:t>
            </w:r>
          </w:p>
        </w:tc>
        <w:tc>
          <w:tcPr>
            <w:tcW w:w="5360" w:type="dxa"/>
            <w:vAlign w:val="bottom"/>
            <w:gridSpan w:val="10"/>
          </w:tcPr>
          <w:p>
            <w:pPr>
              <w:ind w:left="180"/>
              <w:spacing w:after="0" w:line="216" w:lineRule="exact"/>
              <w:rPr>
                <w:sz w:val="20"/>
                <w:szCs w:val="20"/>
                <w:color w:val="auto"/>
              </w:rPr>
            </w:pPr>
            <w:r>
              <w:rPr>
                <w:rFonts w:ascii="Arial" w:cs="Arial" w:eastAsia="Arial" w:hAnsi="Arial"/>
                <w:sz w:val="22"/>
                <w:szCs w:val="22"/>
                <w:color w:val="auto"/>
                <w:w w:val="93"/>
              </w:rPr>
              <w:t>Parallel Debt (Covenant to pay the Administrative Agent)</w:t>
            </w:r>
          </w:p>
        </w:tc>
        <w:tc>
          <w:tcPr>
            <w:tcW w:w="1420" w:type="dxa"/>
            <w:vAlign w:val="bottom"/>
          </w:tcPr>
          <w:p>
            <w:pPr>
              <w:jc w:val="right"/>
              <w:ind w:right="992"/>
              <w:spacing w:after="0" w:line="216" w:lineRule="exact"/>
              <w:rPr>
                <w:sz w:val="20"/>
                <w:szCs w:val="20"/>
                <w:color w:val="auto"/>
              </w:rPr>
            </w:pPr>
            <w:r>
              <w:rPr>
                <w:rFonts w:ascii="Arial" w:cs="Arial" w:eastAsia="Arial" w:hAnsi="Arial"/>
                <w:sz w:val="22"/>
                <w:szCs w:val="22"/>
                <w:color w:val="auto"/>
                <w:w w:val="81"/>
              </w:rPr>
              <w:t>160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340"/>
              <w:spacing w:after="0" w:line="216" w:lineRule="exact"/>
              <w:rPr>
                <w:sz w:val="20"/>
                <w:szCs w:val="20"/>
                <w:color w:val="auto"/>
              </w:rPr>
            </w:pPr>
            <w:r>
              <w:rPr>
                <w:rFonts w:ascii="Arial" w:cs="Arial" w:eastAsia="Arial" w:hAnsi="Arial"/>
                <w:sz w:val="22"/>
                <w:szCs w:val="22"/>
                <w:color w:val="auto"/>
                <w:w w:val="89"/>
              </w:rPr>
              <w:t>Section 10.21</w:t>
            </w:r>
          </w:p>
        </w:tc>
        <w:tc>
          <w:tcPr>
            <w:tcW w:w="2140" w:type="dxa"/>
            <w:vAlign w:val="bottom"/>
            <w:gridSpan w:val="5"/>
          </w:tcPr>
          <w:p>
            <w:pPr>
              <w:ind w:left="180"/>
              <w:spacing w:after="0" w:line="216" w:lineRule="exact"/>
              <w:rPr>
                <w:sz w:val="20"/>
                <w:szCs w:val="20"/>
                <w:color w:val="auto"/>
              </w:rPr>
            </w:pPr>
            <w:r>
              <w:rPr>
                <w:rFonts w:ascii="Arial" w:cs="Arial" w:eastAsia="Arial" w:hAnsi="Arial"/>
                <w:sz w:val="22"/>
                <w:szCs w:val="22"/>
                <w:color w:val="auto"/>
                <w:w w:val="94"/>
              </w:rPr>
              <w:t>Subordinated Lender</w:t>
            </w:r>
          </w:p>
        </w:tc>
        <w:tc>
          <w:tcPr>
            <w:tcW w:w="1040" w:type="dxa"/>
            <w:vAlign w:val="bottom"/>
            <w:gridSpan w:val="2"/>
          </w:tcPr>
          <w:p>
            <w:pPr>
              <w:jc w:val="right"/>
              <w:ind w:right="532"/>
              <w:spacing w:after="0" w:line="216" w:lineRule="exact"/>
              <w:rPr>
                <w:sz w:val="20"/>
                <w:szCs w:val="20"/>
                <w:color w:val="auto"/>
              </w:rPr>
            </w:pPr>
            <w:r>
              <w:rPr>
                <w:rFonts w:ascii="Arial" w:cs="Arial" w:eastAsia="Arial" w:hAnsi="Arial"/>
                <w:sz w:val="22"/>
                <w:szCs w:val="22"/>
                <w:color w:val="auto"/>
              </w:rPr>
              <w:t>161</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560" w:type="dxa"/>
            <w:vAlign w:val="bottom"/>
            <w:gridSpan w:val="2"/>
          </w:tcPr>
          <w:p>
            <w:pPr>
              <w:ind w:left="340"/>
              <w:spacing w:after="0"/>
              <w:rPr>
                <w:sz w:val="20"/>
                <w:szCs w:val="20"/>
                <w:color w:val="auto"/>
              </w:rPr>
            </w:pPr>
            <w:r>
              <w:rPr>
                <w:rFonts w:ascii="Arial" w:cs="Arial" w:eastAsia="Arial" w:hAnsi="Arial"/>
                <w:sz w:val="22"/>
                <w:szCs w:val="22"/>
                <w:color w:val="auto"/>
                <w:w w:val="89"/>
              </w:rPr>
              <w:t>Section 10.22</w:t>
            </w:r>
          </w:p>
        </w:tc>
        <w:tc>
          <w:tcPr>
            <w:tcW w:w="1800" w:type="dxa"/>
            <w:vAlign w:val="bottom"/>
            <w:gridSpan w:val="4"/>
          </w:tcPr>
          <w:p>
            <w:pPr>
              <w:ind w:left="180"/>
              <w:spacing w:after="0"/>
              <w:rPr>
                <w:sz w:val="20"/>
                <w:szCs w:val="20"/>
                <w:color w:val="auto"/>
              </w:rPr>
            </w:pPr>
            <w:r>
              <w:rPr>
                <w:rFonts w:ascii="Arial" w:cs="Arial" w:eastAsia="Arial" w:hAnsi="Arial"/>
                <w:sz w:val="22"/>
                <w:szCs w:val="22"/>
                <w:color w:val="auto"/>
                <w:w w:val="92"/>
              </w:rPr>
              <w:t>Restricted Lender</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161</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iii</w:t>
      </w:r>
    </w:p>
    <w:p>
      <w:pPr>
        <w:spacing w:after="0"/>
        <w:rPr>
          <w:sz w:val="20"/>
          <w:szCs w:val="20"/>
          <w:color w:val="auto"/>
        </w:rPr>
      </w:pPr>
      <w:r>
        <w:rPr>
          <w:rFonts w:ascii="Arial" w:cs="Arial" w:eastAsia="Arial" w:hAnsi="Arial"/>
          <w:sz w:val="13"/>
          <w:szCs w:val="13"/>
          <w:color w:val="FF0000"/>
          <w:strike w:val="1"/>
        </w:rPr>
        <w:t>WEIL:\99030905\1\64101.0067</w:t>
      </w:r>
      <w:r>
        <w:rPr>
          <w:rFonts w:ascii="Arial" w:cs="Arial" w:eastAsia="Arial" w:hAnsi="Arial"/>
          <w:sz w:val="13"/>
          <w:szCs w:val="13"/>
          <w:u w:val="single" w:color="auto"/>
          <w:color w:val="0000FF"/>
          <w:strike w:val="1"/>
        </w:rPr>
        <w:t>WEIL:\99030905\8\64101.0067</w:t>
      </w:r>
    </w:p>
    <w:p>
      <w:pPr>
        <w:sectPr>
          <w:pgSz w:w="11900" w:h="16838" w:orient="portrait"/>
          <w:cols w:equalWidth="0" w:num="1">
            <w:col w:w="10139"/>
          </w:cols>
          <w:pgMar w:left="320" w:top="1364" w:right="1440" w:bottom="1440" w:gutter="0" w:footer="0" w:header="0"/>
        </w:sectPr>
      </w:pPr>
    </w:p>
    <w:bookmarkStart w:id="85" w:name="page86"/>
    <w:bookmarkEnd w:id="85"/>
    <w:p>
      <w:pPr>
        <w:spacing w:after="0" w:line="15" w:lineRule="exact"/>
        <w:rPr>
          <w:sz w:val="20"/>
          <w:szCs w:val="20"/>
          <w:color w:val="auto"/>
        </w:rPr>
      </w:pPr>
    </w:p>
    <w:p>
      <w:pPr>
        <w:ind w:left="80"/>
        <w:spacing w:after="0" w:line="302" w:lineRule="auto"/>
        <w:rPr>
          <w:sz w:val="20"/>
          <w:szCs w:val="20"/>
          <w:color w:val="auto"/>
        </w:rPr>
      </w:pPr>
      <w:r>
        <w:rPr>
          <w:rFonts w:ascii="Arial" w:cs="Arial" w:eastAsia="Arial" w:hAnsi="Arial"/>
          <w:sz w:val="19"/>
          <w:szCs w:val="19"/>
          <w:color w:val="auto"/>
        </w:rPr>
        <w:t>SCHEDULE 2.01 SCHEDULE 3.06 SCHEDULE 3.10 SCHEDULE 3.13 SCHEDULE 4.01(b) SCHEDULE 4.01(l) SCHEDULE 5.06 SCHEDULE 6.01 SCHEDULE 6.02 SCHEDULE 6.04(b)(ii) SCHEDULE 6.06 SCHEDULE 6.07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Commitments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Litigation or Environmental Matters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Taxes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Foreign Security Agreements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Foreign Security Filings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Material Agreements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Indebtedness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Permitted Liens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Existing Investments</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Permitted Restrictive Agreements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Transactions with Affiliates</w:t>
      </w:r>
    </w:p>
    <w:p>
      <w:pPr>
        <w:spacing w:after="0" w:line="271" w:lineRule="exact"/>
        <w:rPr>
          <w:sz w:val="20"/>
          <w:szCs w:val="20"/>
          <w:color w:val="auto"/>
        </w:rPr>
      </w:pPr>
    </w:p>
    <w:p>
      <w:pPr>
        <w:sectPr>
          <w:pgSz w:w="11900" w:h="16838" w:orient="portrait"/>
          <w:cols w:equalWidth="0" w:num="2">
            <w:col w:w="2160" w:space="660"/>
            <w:col w:w="7380"/>
          </w:cols>
          <w:pgMar w:left="320" w:top="1440" w:right="1379" w:bottom="1440" w:gutter="0" w:footer="0" w:header="0"/>
        </w:sect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EXHIBIT A</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1"/>
          <w:szCs w:val="21"/>
          <w:color w:val="auto"/>
        </w:rPr>
        <w:t>EXHIBIT B-1</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21"/>
          <w:szCs w:val="21"/>
          <w:color w:val="auto"/>
        </w:rPr>
        <w:t>EXHIBIT B-2</w:t>
      </w:r>
    </w:p>
    <w:p>
      <w:pPr>
        <w:spacing w:after="0" w:line="29" w:lineRule="exact"/>
        <w:rPr>
          <w:sz w:val="20"/>
          <w:szCs w:val="20"/>
          <w:color w:val="auto"/>
        </w:rPr>
      </w:pPr>
    </w:p>
    <w:p>
      <w:pPr>
        <w:ind w:left="80"/>
        <w:spacing w:after="0"/>
        <w:rPr>
          <w:sz w:val="20"/>
          <w:szCs w:val="20"/>
          <w:color w:val="auto"/>
        </w:rPr>
      </w:pPr>
      <w:r>
        <w:rPr>
          <w:rFonts w:ascii="Arial" w:cs="Arial" w:eastAsia="Arial" w:hAnsi="Arial"/>
          <w:sz w:val="22"/>
          <w:szCs w:val="22"/>
          <w:color w:val="auto"/>
        </w:rPr>
        <w:t>EXHIBIT C</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EXHIBIT D</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EXHIBIT E</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EXHIBIT F</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EXHIBIT G</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EXHIBIT H-1</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21"/>
          <w:szCs w:val="21"/>
          <w:color w:val="auto"/>
        </w:rPr>
        <w:t>EXHIBIT H-2</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EXHIBIT H-3</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EXHIBIT H-4</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Form of Assignment and Assumption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Form of Borrowing Request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Form of Letter of Credit Request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Form of Interest Election Request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Form of Revolving Note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Form of Guaranty Supplement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Form of Compliance Certificate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Form of Agreed Security Principles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U.S. Tax Certificate (For Non-U.S. Lenders that are not Partnerships for U.S. Federal</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Income Tax Purposes)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U.S. Tax Certificate (For Non-U.S. Lenders that are Partnerships for U.S. Federal</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Income Tax Purposes)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U.S. Tax Certificate (For Non-U.S. Participants that are not Partnerships for U.S.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Federal Income Tax Purposes)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U.S. Tax Certificate (For Non-U.S. Participants that are Partnerships for U.S. Federal</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Income Tax Purposes)</w:t>
      </w:r>
    </w:p>
    <w:p>
      <w:pPr>
        <w:spacing w:after="0" w:line="200" w:lineRule="exact"/>
        <w:rPr>
          <w:sz w:val="20"/>
          <w:szCs w:val="20"/>
          <w:color w:val="auto"/>
        </w:rPr>
      </w:pPr>
    </w:p>
    <w:p>
      <w:pPr>
        <w:sectPr>
          <w:pgSz w:w="11900" w:h="16838" w:orient="portrait"/>
          <w:cols w:equalWidth="0" w:num="2">
            <w:col w:w="2100" w:space="720"/>
            <w:col w:w="7380"/>
          </w:cols>
          <w:pgMar w:left="320" w:top="1440"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iv</w:t>
      </w:r>
    </w:p>
    <w:p>
      <w:pPr>
        <w:spacing w:after="0"/>
        <w:rPr>
          <w:sz w:val="20"/>
          <w:szCs w:val="20"/>
          <w:color w:val="auto"/>
        </w:rPr>
      </w:pPr>
      <w:r>
        <w:rPr>
          <w:rFonts w:ascii="Arial" w:cs="Arial" w:eastAsia="Arial" w:hAnsi="Arial"/>
          <w:sz w:val="12"/>
          <w:szCs w:val="12"/>
          <w:color w:val="FF0000"/>
          <w:strike w:val="1"/>
        </w:rPr>
        <w:t>WEIL:\99030905\1\64101.0067</w:t>
      </w:r>
      <w:r>
        <w:rPr>
          <w:rFonts w:ascii="Arial" w:cs="Arial" w:eastAsia="Arial" w:hAnsi="Arial"/>
          <w:sz w:val="12"/>
          <w:szCs w:val="12"/>
          <w:u w:val="single" w:color="auto"/>
          <w:color w:val="0000FF"/>
          <w:strike w:val="1"/>
        </w:rPr>
        <w:t>WEIL:\99030905\8\64101.0067</w:t>
      </w:r>
    </w:p>
    <w:p>
      <w:pPr>
        <w:sectPr>
          <w:pgSz w:w="11900" w:h="16838" w:orient="portrait"/>
          <w:cols w:equalWidth="0" w:num="1">
            <w:col w:w="10200"/>
          </w:cols>
          <w:pgMar w:left="320" w:top="1440" w:right="1379" w:bottom="1440" w:gutter="0" w:footer="0" w:header="0"/>
          <w:type w:val="continuous"/>
        </w:sectPr>
      </w:pPr>
    </w:p>
    <w:bookmarkStart w:id="86" w:name="page87"/>
    <w:bookmarkEnd w:id="86"/>
    <w:p>
      <w:pPr>
        <w:jc w:val="both"/>
        <w:ind w:firstLine="648"/>
        <w:spacing w:after="0" w:line="268" w:lineRule="auto"/>
        <w:rPr>
          <w:sz w:val="20"/>
          <w:szCs w:val="20"/>
          <w:color w:val="auto"/>
        </w:rPr>
      </w:pPr>
      <w:r>
        <w:rPr>
          <w:rFonts w:ascii="Arial" w:cs="Arial" w:eastAsia="Arial" w:hAnsi="Arial"/>
          <w:sz w:val="19"/>
          <w:szCs w:val="19"/>
          <w:color w:val="auto"/>
        </w:rPr>
        <w:t>REVOLVING CREDIT AGREEMENT dated as of November 1, 2021 among FLUENCE, ENERGY LLC, a Delaware limited liability company, as the Borrower, FLUENCE ENERGY, INC., a Delaware corporation, as the Parent, the GUARANTORS party hereto, the LENDERS party hereto and JPMORGAN CHASE BANK, N.A., as Administrative Agent.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 below:</w:t>
      </w:r>
    </w:p>
    <w:p>
      <w:pPr>
        <w:spacing w:after="0" w:line="173" w:lineRule="exact"/>
        <w:rPr>
          <w:sz w:val="20"/>
          <w:szCs w:val="20"/>
          <w:color w:val="auto"/>
        </w:rPr>
      </w:pPr>
    </w:p>
    <w:p>
      <w:pPr>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ABR</w:t>
      </w:r>
      <w:r>
        <w:rPr>
          <w:rFonts w:ascii="Arial" w:cs="Arial" w:eastAsia="Arial" w:hAnsi="Arial"/>
          <w:sz w:val="22"/>
          <w:szCs w:val="22"/>
          <w:color w:val="auto"/>
        </w:rPr>
        <w:t>”, when used in reference to any Loan or Borrowing, refers to whether such Loan, or the Loans comprising such Borrowing, are bearing interest at a rate determined by reference to the Alternate Base Rate. All ABR Loans shall be denominated in Dollars.</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EURIBOR Rate</w:t>
      </w:r>
      <w:r>
        <w:rPr>
          <w:rFonts w:ascii="Arial" w:cs="Arial" w:eastAsia="Arial" w:hAnsi="Arial"/>
          <w:sz w:val="22"/>
          <w:szCs w:val="22"/>
          <w:color w:val="auto"/>
        </w:rPr>
        <w:t xml:space="preserve"> ” means, with respect to any Term Benchmark Borrowing denominated in Euros for any Interest Period, an interest rate per annum equal to (a) the EURIBOR Rate for such Interest Period multiplied by (b) the Statutory Reserve Rate.</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b w:val="1"/>
          <w:bCs w:val="1"/>
          <w:u w:val="single" w:color="auto"/>
          <w:color w:val="0000FF"/>
        </w:rPr>
        <w:t>Adjusted Daily Simple SOFR</w:t>
      </w:r>
      <w:r>
        <w:rPr>
          <w:rFonts w:ascii="Arial" w:cs="Arial" w:eastAsia="Arial" w:hAnsi="Arial"/>
          <w:sz w:val="22"/>
          <w:szCs w:val="22"/>
          <w:u w:val="single" w:color="auto"/>
          <w:color w:val="0000FF"/>
        </w:rPr>
        <w:t xml:space="preserve">” means an interest rate per annum equal to (a) the Daily Simple SOFR, plus (b) 0.10%; provided that if Adjusted Daily Simple SOFR as so determined would be </w:t>
      </w:r>
      <w:r>
        <w:rPr>
          <w:rFonts w:ascii="Arial" w:cs="Arial" w:eastAsia="Arial" w:hAnsi="Arial"/>
          <w:sz w:val="22"/>
          <w:szCs w:val="22"/>
          <w:u w:val="single" w:color="auto"/>
          <w:color w:val="008000"/>
        </w:rPr>
        <w:t>less than 0.00%, such rate shall be deemed</w:t>
      </w:r>
      <w:r>
        <w:rPr>
          <w:rFonts w:ascii="Arial" w:cs="Arial" w:eastAsia="Arial" w:hAnsi="Arial"/>
          <w:sz w:val="22"/>
          <w:szCs w:val="22"/>
          <w:u w:val="single" w:color="auto"/>
          <w:color w:val="0000FF"/>
        </w:rPr>
        <w:t xml:space="preserve"> to be </w:t>
      </w:r>
      <w:r>
        <w:rPr>
          <w:rFonts w:ascii="Arial" w:cs="Arial" w:eastAsia="Arial" w:hAnsi="Arial"/>
          <w:sz w:val="22"/>
          <w:szCs w:val="22"/>
          <w:u w:val="single" w:color="auto"/>
          <w:color w:val="008000"/>
        </w:rPr>
        <w:t>0.00%</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for the purposes of this Agreement.</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LIBO</w:t>
      </w:r>
      <w:r>
        <w:rPr>
          <w:rFonts w:ascii="Arial" w:cs="Arial" w:eastAsia="Arial" w:hAnsi="Arial"/>
          <w:sz w:val="22"/>
          <w:szCs w:val="22"/>
          <w:b w:val="1"/>
          <w:bCs w:val="1"/>
          <w:u w:val="single" w:color="auto"/>
          <w:color w:val="0000FF"/>
        </w:rPr>
        <w:t>Term SOFR</w:t>
      </w:r>
      <w:r>
        <w:rPr>
          <w:rFonts w:ascii="Arial" w:cs="Arial" w:eastAsia="Arial" w:hAnsi="Arial"/>
          <w:sz w:val="22"/>
          <w:szCs w:val="22"/>
          <w:color w:val="auto"/>
        </w:rPr>
        <w:t xml:space="preserve"> </w:t>
      </w:r>
      <w:r>
        <w:rPr>
          <w:rFonts w:ascii="Arial" w:cs="Arial" w:eastAsia="Arial" w:hAnsi="Arial"/>
          <w:sz w:val="22"/>
          <w:szCs w:val="22"/>
          <w:b w:val="1"/>
          <w:bCs w:val="1"/>
          <w:color w:val="auto"/>
        </w:rPr>
        <w:t>Rate</w:t>
      </w:r>
      <w:r>
        <w:rPr>
          <w:rFonts w:ascii="Arial" w:cs="Arial" w:eastAsia="Arial" w:hAnsi="Arial"/>
          <w:sz w:val="22"/>
          <w:szCs w:val="22"/>
          <w:color w:val="auto"/>
        </w:rPr>
        <w:t xml:space="preserve">” means, with respect to any Term Benchmark Borrowing denominated in Dollars for any Interest Period, an interest rate per annum </w:t>
      </w:r>
      <w:r>
        <w:rPr>
          <w:rFonts w:ascii="Arial" w:cs="Arial" w:eastAsia="Arial" w:hAnsi="Arial"/>
          <w:sz w:val="22"/>
          <w:szCs w:val="22"/>
          <w:color w:val="FF0000"/>
          <w:strike w:val="1"/>
        </w:rPr>
        <w:t>(rounded upwards, if necessary, to the next 1/16 of 1%)</w:t>
      </w:r>
      <w:r>
        <w:rPr>
          <w:rFonts w:ascii="Arial" w:cs="Arial" w:eastAsia="Arial" w:hAnsi="Arial"/>
          <w:sz w:val="22"/>
          <w:szCs w:val="22"/>
          <w:color w:val="auto"/>
        </w:rPr>
        <w:t xml:space="preserve"> equal to (a) the </w:t>
      </w:r>
      <w:r>
        <w:rPr>
          <w:rFonts w:ascii="Arial" w:cs="Arial" w:eastAsia="Arial" w:hAnsi="Arial"/>
          <w:sz w:val="22"/>
          <w:szCs w:val="22"/>
          <w:color w:val="FF0000"/>
          <w:strike w:val="1"/>
        </w:rPr>
        <w:t>LIBO</w:t>
      </w:r>
      <w:r>
        <w:rPr>
          <w:rFonts w:ascii="Arial" w:cs="Arial" w:eastAsia="Arial" w:hAnsi="Arial"/>
          <w:sz w:val="22"/>
          <w:szCs w:val="22"/>
          <w:u w:val="single" w:color="auto"/>
          <w:color w:val="0000FF"/>
        </w:rPr>
        <w:t>Term</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0000FF"/>
        </w:rPr>
        <w:t xml:space="preserve"> </w:t>
      </w:r>
      <w:r>
        <w:rPr>
          <w:rFonts w:ascii="Arial" w:cs="Arial" w:eastAsia="Arial" w:hAnsi="Arial"/>
          <w:sz w:val="22"/>
          <w:szCs w:val="22"/>
          <w:color w:val="000000"/>
        </w:rPr>
        <w:t>Rate for such Interest Period</w:t>
      </w:r>
      <w:r>
        <w:rPr>
          <w:rFonts w:ascii="Arial" w:cs="Arial" w:eastAsia="Arial" w:hAnsi="Arial"/>
          <w:sz w:val="22"/>
          <w:szCs w:val="22"/>
          <w:color w:val="0000FF"/>
        </w:rPr>
        <w:t xml:space="preserve"> </w:t>
      </w:r>
      <w:r>
        <w:rPr>
          <w:rFonts w:ascii="Arial" w:cs="Arial" w:eastAsia="Arial" w:hAnsi="Arial"/>
          <w:sz w:val="22"/>
          <w:szCs w:val="22"/>
          <w:color w:val="FF0000"/>
          <w:strike w:val="1"/>
        </w:rPr>
        <w:t>multiplied by (b) the Statutory Reserve Rate</w:t>
      </w:r>
      <w:r>
        <w:rPr>
          <w:rFonts w:ascii="Arial" w:cs="Arial" w:eastAsia="Arial" w:hAnsi="Arial"/>
          <w:sz w:val="22"/>
          <w:szCs w:val="22"/>
          <w:u w:val="single" w:color="auto"/>
          <w:color w:val="0000FF"/>
        </w:rPr>
        <w:t>,</w:t>
      </w:r>
      <w:r>
        <w:rPr>
          <w:rFonts w:ascii="Arial" w:cs="Arial" w:eastAsia="Arial" w:hAnsi="Arial"/>
          <w:sz w:val="22"/>
          <w:szCs w:val="22"/>
          <w:color w:val="0000FF"/>
        </w:rPr>
        <w:t xml:space="preserve"> </w:t>
      </w:r>
      <w:r>
        <w:rPr>
          <w:rFonts w:ascii="Arial" w:cs="Arial" w:eastAsia="Arial" w:hAnsi="Arial"/>
          <w:sz w:val="22"/>
          <w:szCs w:val="22"/>
          <w:i w:val="1"/>
          <w:iCs w:val="1"/>
          <w:u w:val="single" w:color="auto"/>
          <w:color w:val="0000FF"/>
        </w:rPr>
        <w:t>plus</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(b) 0.10%; provided that if the Adjusted</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 xml:space="preserve">Term SOFR Rate as so determined would be </w:t>
      </w:r>
      <w:r>
        <w:rPr>
          <w:rFonts w:ascii="Arial" w:cs="Arial" w:eastAsia="Arial" w:hAnsi="Arial"/>
          <w:sz w:val="22"/>
          <w:szCs w:val="22"/>
          <w:u w:val="single" w:color="auto"/>
          <w:color w:val="008000"/>
        </w:rPr>
        <w:t>less than 0.00%, such rate shall be deemed to be 0.00% for the purposes of this</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Agreement</w:t>
      </w:r>
      <w:r>
        <w:rPr>
          <w:rFonts w:ascii="Arial" w:cs="Arial" w:eastAsia="Arial" w:hAnsi="Arial"/>
          <w:sz w:val="22"/>
          <w:szCs w:val="22"/>
          <w:color w:val="000000"/>
        </w:rPr>
        <w:t>.</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w:t>
      </w:r>
      <w:r>
        <w:rPr>
          <w:rFonts w:ascii="Arial" w:cs="Arial" w:eastAsia="Arial" w:hAnsi="Arial"/>
          <w:sz w:val="22"/>
          <w:szCs w:val="22"/>
          <w:color w:val="auto"/>
        </w:rPr>
        <w:t>” means JPMorgan Chase Bank, N.A. (or any of its designated branch offices or affiliates), in its capacity as administrative agent for the Lenders hereunder, or any successor administrative agent.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Questionnaire</w:t>
      </w:r>
      <w:r>
        <w:rPr>
          <w:rFonts w:ascii="Arial" w:cs="Arial" w:eastAsia="Arial" w:hAnsi="Arial"/>
          <w:sz w:val="21"/>
          <w:szCs w:val="21"/>
          <w:color w:val="auto"/>
        </w:rPr>
        <w:t>” means an Administrative Questionnaire in a form supplied by the Administrative</w:t>
      </w:r>
    </w:p>
    <w:p>
      <w:pPr>
        <w:spacing w:after="0"/>
        <w:rPr>
          <w:sz w:val="20"/>
          <w:szCs w:val="20"/>
          <w:color w:val="auto"/>
        </w:rPr>
      </w:pPr>
      <w:r>
        <w:rPr>
          <w:rFonts w:ascii="Arial" w:cs="Arial" w:eastAsia="Arial" w:hAnsi="Arial"/>
          <w:sz w:val="22"/>
          <w:szCs w:val="22"/>
          <w:color w:val="auto"/>
        </w:rPr>
        <w:t>Agent.</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AES</w:t>
      </w:r>
      <w:r>
        <w:rPr>
          <w:rFonts w:ascii="Arial" w:cs="Arial" w:eastAsia="Arial" w:hAnsi="Arial"/>
          <w:sz w:val="22"/>
          <w:szCs w:val="22"/>
          <w:color w:val="auto"/>
        </w:rPr>
        <w:t>” means The AES Corporation, a Delaware corporation, and its subsidiaries and affiliates, including AES Grid Stability, LLC, a Delaware limited liability company.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Agents</w:t>
      </w:r>
      <w:r>
        <w:rPr>
          <w:rFonts w:ascii="Arial" w:cs="Arial" w:eastAsia="Arial" w:hAnsi="Arial"/>
          <w:sz w:val="21"/>
          <w:szCs w:val="21"/>
          <w:color w:val="auto"/>
        </w:rPr>
        <w:t>” means the Administrative Agent, the Arrangers, the Syndication Agent and the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WEIL:\99030905\1\64101.0067</w:t>
      </w:r>
      <w:r>
        <w:rPr>
          <w:rFonts w:ascii="Arial" w:cs="Arial" w:eastAsia="Arial" w:hAnsi="Arial"/>
          <w:sz w:val="13"/>
          <w:szCs w:val="13"/>
          <w:u w:val="single" w:color="auto"/>
          <w:color w:val="0000FF"/>
          <w:strike w:val="1"/>
        </w:rPr>
        <w:t>WEIL:\99030905\8\64101.0067</w:t>
      </w:r>
    </w:p>
    <w:p>
      <w:pPr>
        <w:sectPr>
          <w:pgSz w:w="11900" w:h="16838" w:orient="portrait"/>
          <w:cols w:equalWidth="0" w:num="1">
            <w:col w:w="11240"/>
          </w:cols>
          <w:pgMar w:left="320" w:top="1401"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Agreed Currency</w:t>
      </w:r>
      <w:r>
        <w:rPr>
          <w:rFonts w:ascii="Arial" w:cs="Arial" w:eastAsia="Arial" w:hAnsi="Arial"/>
          <w:sz w:val="22"/>
          <w:szCs w:val="22"/>
          <w:color w:val="auto"/>
        </w:rPr>
        <w:t>” means Dollars and any Alternative Currency.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Agreed Security Principles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Revolving Credit Agreement, as the same may hereafter be modified, supplemented, extended, amended, restated or amended and restated from time to time.</w:t>
      </w:r>
    </w:p>
    <w:p>
      <w:pPr>
        <w:spacing w:after="0" w:line="15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Alternate Base Rate</w:t>
      </w:r>
      <w:r>
        <w:rPr>
          <w:rFonts w:ascii="Arial" w:cs="Arial" w:eastAsia="Arial" w:hAnsi="Arial"/>
          <w:sz w:val="19"/>
          <w:szCs w:val="19"/>
          <w:color w:val="auto"/>
        </w:rPr>
        <w:t xml:space="preserve">” means, for any day,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greatest of (a) the Prime Rate in effect on such day, (b) the NYFRB Rate in effect on such day plus </w:t>
      </w:r>
      <w:r>
        <w:rPr>
          <w:rFonts w:ascii="Arial" w:cs="Arial" w:eastAsia="Arial" w:hAnsi="Arial"/>
          <w:sz w:val="25"/>
          <w:szCs w:val="25"/>
          <w:color w:val="auto"/>
          <w:vertAlign w:val="superscript"/>
        </w:rPr>
        <w:t>1</w:t>
      </w:r>
      <w:r>
        <w:rPr>
          <w:rFonts w:ascii="Arial" w:cs="Arial" w:eastAsia="Arial" w:hAnsi="Arial"/>
          <w:sz w:val="19"/>
          <w:szCs w:val="19"/>
          <w:color w:val="auto"/>
        </w:rPr>
        <w:t xml:space="preserve">⁄2 of 1% and (c)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for a one month Interest Period </w:t>
      </w:r>
      <w:r>
        <w:rPr>
          <w:rFonts w:ascii="Arial" w:cs="Arial" w:eastAsia="Arial" w:hAnsi="Arial"/>
          <w:sz w:val="19"/>
          <w:szCs w:val="19"/>
          <w:color w:val="FF0000"/>
          <w:strike w:val="1"/>
        </w:rPr>
        <w:t>on</w:t>
      </w:r>
      <w:r>
        <w:rPr>
          <w:rFonts w:ascii="Arial" w:cs="Arial" w:eastAsia="Arial" w:hAnsi="Arial"/>
          <w:sz w:val="19"/>
          <w:szCs w:val="19"/>
          <w:u w:val="single" w:color="auto"/>
          <w:color w:val="0000FF"/>
        </w:rPr>
        <w:t>as published two U.S. Government Securities Business Days prior to</w:t>
      </w:r>
      <w:r>
        <w:rPr>
          <w:rFonts w:ascii="Arial" w:cs="Arial" w:eastAsia="Arial" w:hAnsi="Arial"/>
          <w:sz w:val="19"/>
          <w:szCs w:val="19"/>
          <w:color w:val="auto"/>
        </w:rPr>
        <w:t xml:space="preserve"> such day (or if such day is not a </w:t>
      </w:r>
      <w:r>
        <w:rPr>
          <w:rFonts w:ascii="Arial" w:cs="Arial" w:eastAsia="Arial" w:hAnsi="Arial"/>
          <w:sz w:val="19"/>
          <w:szCs w:val="19"/>
          <w:u w:val="single" w:color="auto"/>
          <w:color w:val="0000FF"/>
        </w:rPr>
        <w:t>U.S.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Government Securities</w:t>
      </w:r>
      <w:r>
        <w:rPr>
          <w:rFonts w:ascii="Arial" w:cs="Arial" w:eastAsia="Arial" w:hAnsi="Arial"/>
          <w:sz w:val="19"/>
          <w:szCs w:val="19"/>
          <w:color w:val="0000FF"/>
        </w:rPr>
        <w:t xml:space="preserve"> </w:t>
      </w:r>
      <w:r>
        <w:rPr>
          <w:rFonts w:ascii="Arial" w:cs="Arial" w:eastAsia="Arial" w:hAnsi="Arial"/>
          <w:sz w:val="19"/>
          <w:szCs w:val="19"/>
          <w:color w:val="000000"/>
        </w:rPr>
        <w:t>Business Day, the immediately preceding</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U.S. Government Securities</w:t>
      </w:r>
      <w:r>
        <w:rPr>
          <w:rFonts w:ascii="Arial" w:cs="Arial" w:eastAsia="Arial" w:hAnsi="Arial"/>
          <w:sz w:val="19"/>
          <w:szCs w:val="19"/>
          <w:color w:val="0000FF"/>
        </w:rPr>
        <w:t xml:space="preserve"> </w:t>
      </w:r>
      <w:r>
        <w:rPr>
          <w:rFonts w:ascii="Arial" w:cs="Arial" w:eastAsia="Arial" w:hAnsi="Arial"/>
          <w:sz w:val="19"/>
          <w:szCs w:val="19"/>
          <w:color w:val="000000"/>
        </w:rPr>
        <w:t>Business Day) plus 1%,</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 xml:space="preserve">that for the purpose of this definition,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Rate for any day shall be based on the </w:t>
      </w:r>
      <w:r>
        <w:rPr>
          <w:rFonts w:ascii="Arial" w:cs="Arial" w:eastAsia="Arial" w:hAnsi="Arial"/>
          <w:sz w:val="19"/>
          <w:szCs w:val="19"/>
          <w:color w:val="FF0000"/>
          <w:strike w:val="1"/>
        </w:rPr>
        <w:t>LIBO Screen Rate</w:t>
      </w:r>
      <w:r>
        <w:rPr>
          <w:rFonts w:ascii="Arial" w:cs="Arial" w:eastAsia="Arial" w:hAnsi="Arial"/>
          <w:sz w:val="19"/>
          <w:szCs w:val="19"/>
          <w:color w:val="000000"/>
        </w:rPr>
        <w:t xml:space="preserve"> </w:t>
      </w:r>
      <w:r>
        <w:rPr>
          <w:rFonts w:ascii="Arial" w:cs="Arial" w:eastAsia="Arial" w:hAnsi="Arial"/>
          <w:sz w:val="19"/>
          <w:szCs w:val="19"/>
          <w:color w:val="FF0000"/>
          <w:strike w:val="1"/>
        </w:rPr>
        <w:t>(or if the LIBO Screen Rate is not available for such one month Interest Period, the LIBO Interpolated Rate)</w:t>
      </w:r>
      <w:r>
        <w:rPr>
          <w:rFonts w:ascii="Arial" w:cs="Arial" w:eastAsia="Arial" w:hAnsi="Arial"/>
          <w:sz w:val="19"/>
          <w:szCs w:val="19"/>
          <w:u w:val="single" w:color="auto"/>
          <w:color w:val="0000FF"/>
          <w:strike w:val="1"/>
        </w:rPr>
        <w:t>Term SOFR</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Reference Rate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at approximately</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11</w:t>
      </w:r>
      <w:r>
        <w:rPr>
          <w:rFonts w:ascii="Arial" w:cs="Arial" w:eastAsia="Arial" w:hAnsi="Arial"/>
          <w:sz w:val="19"/>
          <w:szCs w:val="19"/>
          <w:u w:val="single" w:color="auto"/>
          <w:color w:val="0000FF"/>
          <w:strike w:val="1"/>
        </w:rPr>
        <w:t>8</w:t>
      </w:r>
      <w:r>
        <w:rPr>
          <w:rFonts w:ascii="Arial" w:cs="Arial" w:eastAsia="Arial" w:hAnsi="Arial"/>
          <w:sz w:val="19"/>
          <w:szCs w:val="19"/>
          <w:color w:val="000000"/>
          <w:strike w:val="1"/>
        </w:rPr>
        <w:t>:00 a.m</w:t>
      </w:r>
      <w:r>
        <w:rPr>
          <w:rFonts w:ascii="Arial" w:cs="Arial" w:eastAsia="Arial" w:hAnsi="Arial"/>
          <w:sz w:val="19"/>
          <w:szCs w:val="19"/>
          <w:color w:val="FF0000"/>
          <w:strike w:val="1"/>
        </w:rPr>
        <w:t>. London</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New York</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time on such day</w:t>
      </w:r>
      <w:r>
        <w:rPr>
          <w:rFonts w:ascii="Arial" w:cs="Arial" w:eastAsia="Arial" w:hAnsi="Arial"/>
          <w:sz w:val="19"/>
          <w:szCs w:val="19"/>
          <w:color w:val="0000FF"/>
          <w:strike w:val="1"/>
        </w:rPr>
        <w:t xml:space="preserve"> (or any amended publication time for the Term </w:t>
      </w:r>
      <w:r>
        <w:rPr>
          <w:rFonts w:ascii="Arial" w:cs="Arial" w:eastAsia="Arial" w:hAnsi="Arial"/>
          <w:sz w:val="19"/>
          <w:szCs w:val="19"/>
          <w:u w:val="single" w:color="auto"/>
          <w:color w:val="0000FF"/>
          <w:strike w:val="1"/>
        </w:rPr>
        <w:t>SOFR Reference Rate, as specified by the CME Term SOFR Administrator in the Term SOFR Reference Rate methodology)</w:t>
      </w:r>
      <w:r>
        <w:rPr>
          <w:rFonts w:ascii="Arial" w:cs="Arial" w:eastAsia="Arial" w:hAnsi="Arial"/>
          <w:sz w:val="19"/>
          <w:szCs w:val="19"/>
          <w:color w:val="000000"/>
          <w:strike w:val="1"/>
        </w:rPr>
        <w: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 xml:space="preserve">Any change in the Alternate Base Rate due to a change in the Prime Rate, the NYFRB Rate or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strike w:val="1"/>
        </w:rPr>
        <w:t>Term SOFR</w:t>
      </w:r>
      <w:r>
        <w:rPr>
          <w:rFonts w:ascii="Arial" w:cs="Arial" w:eastAsia="Arial" w:hAnsi="Arial"/>
          <w:sz w:val="19"/>
          <w:szCs w:val="19"/>
          <w:color w:val="000000"/>
          <w:strike w:val="1"/>
        </w:rPr>
        <w:t xml:space="preserve"> Rate shall be effective from and including the effective date of such change in the Prime Rate, the NYFRB Rate or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strike w:val="1"/>
        </w:rPr>
        <w:t>Term 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Rate, respectively. If the Alternate Base Rate is being used as an alternate rate of interest pursuant to</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Section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2.11</w:t>
      </w:r>
      <w:r>
        <w:rPr>
          <w:rFonts w:ascii="Arial" w:cs="Arial" w:eastAsia="Arial" w:hAnsi="Arial"/>
          <w:sz w:val="19"/>
          <w:szCs w:val="19"/>
          <w:color w:val="000000"/>
          <w:strike w:val="1"/>
        </w:rPr>
        <w:t xml:space="preserve"> hereof (for the avoidance of doubt, only until the Benchmark Replacement has been determined pursuant to </w:t>
      </w:r>
      <w:r>
        <w:rPr>
          <w:rFonts w:ascii="Arial" w:cs="Arial" w:eastAsia="Arial" w:hAnsi="Arial"/>
          <w:sz w:val="19"/>
          <w:szCs w:val="19"/>
          <w:u w:val="single" w:color="auto"/>
          <w:color w:val="000000"/>
          <w:strike w:val="1"/>
        </w:rPr>
        <w:t>Section 2.11(b)</w:t>
      </w:r>
      <w:r>
        <w:rPr>
          <w:rFonts w:ascii="Arial" w:cs="Arial" w:eastAsia="Arial" w:hAnsi="Arial"/>
          <w:sz w:val="19"/>
          <w:szCs w:val="19"/>
          <w:color w:val="000000"/>
          <w:strike w:val="1"/>
        </w:rPr>
        <w:t>), then the Alternate Base Rate shall be the greater of clause (a) and (b) above and shall be determined without reference to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-824230</wp:posOffset>
            </wp:positionV>
            <wp:extent cx="26130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613025" cy="8255"/>
                    </a:xfrm>
                    <a:prstGeom prst="rect">
                      <a:avLst/>
                    </a:prstGeom>
                    <a:noFill/>
                  </pic:spPr>
                </pic:pic>
              </a:graphicData>
            </a:graphic>
          </wp:anchor>
        </w:drawing>
      </w:r>
    </w:p>
    <w:p>
      <w:pPr>
        <w:ind w:firstLine="8"/>
        <w:spacing w:after="0" w:line="224" w:lineRule="auto"/>
        <w:tabs>
          <w:tab w:leader="none" w:pos="318" w:val="left"/>
        </w:tabs>
        <w:numPr>
          <w:ilvl w:val="0"/>
          <w:numId w:val="22"/>
        </w:numPr>
        <w:rPr>
          <w:rFonts w:ascii="Arial" w:cs="Arial" w:eastAsia="Arial" w:hAnsi="Arial"/>
          <w:sz w:val="22"/>
          <w:szCs w:val="22"/>
          <w:color w:val="auto"/>
        </w:rPr>
      </w:pPr>
      <w:r>
        <w:rPr>
          <w:rFonts w:ascii="Arial" w:cs="Arial" w:eastAsia="Arial" w:hAnsi="Arial"/>
          <w:sz w:val="22"/>
          <w:szCs w:val="22"/>
          <w:color w:val="auto"/>
        </w:rPr>
        <w:t>above. For the avoidance of doubt, if the Alternate Base Rate as determined pursuant to the foregoing would be less than 1.00%, such rate shall be deemed to be 1.00% for purposes of this Agreement.</w:t>
      </w:r>
    </w:p>
    <w:p>
      <w:pPr>
        <w:spacing w:after="0" w:line="15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Alternative Currency</w:t>
      </w:r>
      <w:r>
        <w:rPr>
          <w:rFonts w:ascii="Arial" w:cs="Arial" w:eastAsia="Arial" w:hAnsi="Arial"/>
          <w:sz w:val="21"/>
          <w:szCs w:val="21"/>
          <w:color w:val="auto"/>
        </w:rPr>
        <w:t xml:space="preserve">” means Pounds Sterling, Euros, Australian Dollars and any additional currencies determined after the Effective Date by mutual agreement of the Borrower, Lenders, Issuing Banks and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currency is a lawful currency that is readily available, freely transferable and not restricted, able to be converted into Dollars and available in the London interbank deposit market.</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Alternative Currency Payment Office</w:t>
      </w:r>
      <w:r>
        <w:rPr>
          <w:rFonts w:ascii="Arial" w:cs="Arial" w:eastAsia="Arial" w:hAnsi="Arial"/>
          <w:sz w:val="22"/>
          <w:szCs w:val="22"/>
          <w:color w:val="auto"/>
        </w:rPr>
        <w:t>” of the Administrative Agent means, for each Alternative Currency, the office, branch, affiliate or correspondent bank of the Administrative Agent for such currency as specified from time to time by notice to the Borrower and each Lender.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Ancillary Document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10.06(b)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xml:space="preserve"> ” means all laws, rules, and regulations of any jurisdiction applicable to the Parent, the Borrower or any of its Affiliates from time to time concerning or relating to bribery or corruption.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Anti-Terrorism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3.15(a)(ii)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Percentage</w:t>
      </w:r>
      <w:r>
        <w:rPr>
          <w:rFonts w:ascii="Arial" w:cs="Arial" w:eastAsia="Arial" w:hAnsi="Arial"/>
          <w:sz w:val="21"/>
          <w:szCs w:val="21"/>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Rate</w:t>
      </w:r>
      <w:r>
        <w:rPr>
          <w:rFonts w:ascii="Arial" w:cs="Arial" w:eastAsia="Arial" w:hAnsi="Arial"/>
          <w:sz w:val="22"/>
          <w:szCs w:val="22"/>
          <w:color w:val="auto"/>
        </w:rPr>
        <w:t>” means, for any day, with respect to any Term Benchmark Loans, ABR Loans, RFR Loans or the commitment fees payable hereunder, as the case may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32" w:lineRule="auto"/>
        <w:rPr>
          <w:sz w:val="20"/>
          <w:szCs w:val="20"/>
          <w:color w:val="auto"/>
        </w:rPr>
      </w:pPr>
      <w:r>
        <w:rPr>
          <w:rFonts w:ascii="Arial" w:cs="Arial" w:eastAsia="Arial" w:hAnsi="Arial"/>
          <w:sz w:val="22"/>
          <w:szCs w:val="22"/>
          <w:color w:val="auto"/>
        </w:rPr>
        <w:t xml:space="preserve">applicable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set forth under the caption “Applicable Rate” across from the caption “Term Benchmark Loans”, “ABR Loans”, “RFR Loans” or “Commitment Fee” in the table below, as the case may be.</w:t>
      </w:r>
    </w:p>
    <w:p>
      <w:pPr>
        <w:spacing w:after="0" w:line="201" w:lineRule="exact"/>
        <w:rPr>
          <w:sz w:val="20"/>
          <w:szCs w:val="20"/>
          <w:color w:val="auto"/>
        </w:rPr>
      </w:pPr>
    </w:p>
    <w:tbl>
      <w:tblPr>
        <w:tblLayout w:type="fixed"/>
        <w:tblInd w:w="1390" w:type="dxa"/>
        <w:tblCellMar>
          <w:top w:w="0" w:type="dxa"/>
          <w:left w:w="0" w:type="dxa"/>
          <w:bottom w:w="0" w:type="dxa"/>
          <w:right w:w="0" w:type="dxa"/>
        </w:tblCellMar>
      </w:tblPr>
      <w:tr>
        <w:trPr>
          <w:trHeight w:val="283"/>
        </w:trPr>
        <w:tc>
          <w:tcPr>
            <w:tcW w:w="49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Type</w:t>
            </w:r>
          </w:p>
        </w:tc>
        <w:tc>
          <w:tcPr>
            <w:tcW w:w="17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w w:val="94"/>
              </w:rPr>
              <w:t>Applicable Rate</w:t>
            </w:r>
          </w:p>
        </w:tc>
      </w:tr>
      <w:tr>
        <w:trPr>
          <w:trHeight w:val="264"/>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Term Benchmark Loans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3.00%</w:t>
            </w:r>
          </w:p>
        </w:tc>
      </w:tr>
      <w:tr>
        <w:trPr>
          <w:trHeight w:val="264"/>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ABR Loans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2.00%</w:t>
            </w:r>
          </w:p>
        </w:tc>
      </w:tr>
      <w:tr>
        <w:trPr>
          <w:trHeight w:val="263"/>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RFR Loans</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3.1193%</w:t>
            </w:r>
          </w:p>
        </w:tc>
      </w:tr>
      <w:tr>
        <w:trPr>
          <w:trHeight w:val="264"/>
        </w:trPr>
        <w:tc>
          <w:tcPr>
            <w:tcW w:w="49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Commitment Fee</w:t>
            </w:r>
          </w:p>
        </w:tc>
        <w:tc>
          <w:tcPr>
            <w:tcW w:w="1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0.55%</w:t>
            </w:r>
          </w:p>
        </w:tc>
      </w:tr>
    </w:tbl>
    <w:p>
      <w:pPr>
        <w:spacing w:after="0" w:line="2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activities and that is administered or managed by (a) a Lender, (b) an Affiliate of a Lender or (c) an entity or an Affiliate of an entity that administers or manages a Lender.</w:t>
      </w:r>
    </w:p>
    <w:p>
      <w:pPr>
        <w:spacing w:after="0" w:line="12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Arrangers</w:t>
      </w:r>
      <w:r>
        <w:rPr>
          <w:rFonts w:ascii="Arial" w:cs="Arial" w:eastAsia="Arial" w:hAnsi="Arial"/>
          <w:sz w:val="19"/>
          <w:szCs w:val="19"/>
          <w:color w:val="auto"/>
        </w:rPr>
        <w:t>” means each of JPMorgan Chase Bank, N.A., Morgan Stanley Senior Funding, Inc., Barclays Bank PLC and BofA Securities, Inc., in their respective capacities as lead arrangers and bookrunners, and any successors thereto.</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ASR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6.05(vi)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and Assumption</w:t>
      </w:r>
      <w:r>
        <w:rPr>
          <w:rFonts w:ascii="Arial" w:cs="Arial" w:eastAsia="Arial" w:hAnsi="Arial"/>
          <w:sz w:val="22"/>
          <w:szCs w:val="22"/>
          <w:color w:val="auto"/>
        </w:rPr>
        <w:t xml:space="preserve">” means an assignment and assumption entered into by a Lender and an assignee (with the consent of any party whose consent is required by </w:t>
      </w:r>
      <w:r>
        <w:rPr>
          <w:rFonts w:ascii="Arial" w:cs="Arial" w:eastAsia="Arial" w:hAnsi="Arial"/>
          <w:sz w:val="22"/>
          <w:szCs w:val="22"/>
          <w:u w:val="single" w:color="auto"/>
          <w:color w:val="auto"/>
        </w:rPr>
        <w:t>Section 10.04</w:t>
      </w:r>
      <w:r>
        <w:rPr>
          <w:rFonts w:ascii="Arial" w:cs="Arial" w:eastAsia="Arial" w:hAnsi="Arial"/>
          <w:sz w:val="22"/>
          <w:szCs w:val="22"/>
          <w:color w:val="auto"/>
        </w:rPr>
        <w:t xml:space="preserve">), and accepted by the Administrative Agent,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any other form (including electronic records generated by the use of an electronic platform) approved by the Administrative Agent.</w:t>
      </w:r>
    </w:p>
    <w:p>
      <w:pPr>
        <w:spacing w:after="0" w:line="15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 Interpolated Rate</w:t>
      </w:r>
      <w:r>
        <w:rPr>
          <w:rFonts w:ascii="Arial" w:cs="Arial" w:eastAsia="Arial" w:hAnsi="Arial"/>
          <w:sz w:val="22"/>
          <w:szCs w:val="22"/>
          <w:color w:val="auto"/>
        </w:rPr>
        <w:t>” means, at any time, the rate per annum determined by the Administrative Agent to be equal to the rate that results from interpolating on a linear basis between: (a) the AUD Screen Rate for the longest period for which that AUD Screen Rate is available that is shorter than the Impacted AUD Interest Period and (b) the AUD Screen Rate for the shortest period for which that AUD Screen Rate is available that exceeds the Impacted AUD Interest Period, in each case, at such time. If at any time the AUD Interpolated Rate is less than zero, the AUD Interpolated Rate shall be deemed to be zero for purposes of this Agreement.</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 Rate</w:t>
      </w:r>
      <w:r>
        <w:rPr>
          <w:rFonts w:ascii="Arial" w:cs="Arial" w:eastAsia="Arial" w:hAnsi="Arial"/>
          <w:sz w:val="22"/>
          <w:szCs w:val="22"/>
          <w:color w:val="auto"/>
        </w:rPr>
        <w:t xml:space="preserve">” means, with respect to any Term Benchmark Borrowing denominated in Australian Dollars and for any Interest Period, the AUD Screen Rate at approximately 11:00 A.M., Sydney, Australia time, on the first day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AUD Screen Rate shall not be available at such time for such Interest Period (an “</w:t>
      </w:r>
      <w:r>
        <w:rPr>
          <w:rFonts w:ascii="Arial" w:cs="Arial" w:eastAsia="Arial" w:hAnsi="Arial"/>
          <w:sz w:val="22"/>
          <w:szCs w:val="22"/>
          <w:b w:val="1"/>
          <w:bCs w:val="1"/>
          <w:color w:val="auto"/>
        </w:rPr>
        <w:t>Impacted AUD</w:t>
      </w:r>
      <w:r>
        <w:rPr>
          <w:rFonts w:ascii="Arial" w:cs="Arial" w:eastAsia="Arial" w:hAnsi="Arial"/>
          <w:sz w:val="22"/>
          <w:szCs w:val="22"/>
          <w:color w:val="auto"/>
        </w:rPr>
        <w:t xml:space="preserve"> </w:t>
      </w:r>
      <w:r>
        <w:rPr>
          <w:rFonts w:ascii="Arial" w:cs="Arial" w:eastAsia="Arial" w:hAnsi="Arial"/>
          <w:sz w:val="22"/>
          <w:szCs w:val="22"/>
          <w:b w:val="1"/>
          <w:bCs w:val="1"/>
          <w:color w:val="auto"/>
        </w:rPr>
        <w:t>Interest Period</w:t>
      </w:r>
      <w:r>
        <w:rPr>
          <w:rFonts w:ascii="Arial" w:cs="Arial" w:eastAsia="Arial" w:hAnsi="Arial"/>
          <w:sz w:val="22"/>
          <w:szCs w:val="22"/>
          <w:color w:val="auto"/>
        </w:rPr>
        <w:t>”), then the AUD Rate shall be the AUD Interpolated Rate.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 Screen Rate</w:t>
      </w:r>
      <w:r>
        <w:rPr>
          <w:rFonts w:ascii="Arial" w:cs="Arial" w:eastAsia="Arial" w:hAnsi="Arial"/>
          <w:sz w:val="22"/>
          <w:szCs w:val="22"/>
          <w:color w:val="auto"/>
        </w:rPr>
        <w:t>” means with respect to any Interest Period:</w:t>
      </w:r>
    </w:p>
    <w:p>
      <w:pPr>
        <w:spacing w:after="0" w:line="185" w:lineRule="exact"/>
        <w:rPr>
          <w:sz w:val="20"/>
          <w:szCs w:val="20"/>
          <w:color w:val="auto"/>
        </w:rPr>
      </w:pPr>
    </w:p>
    <w:p>
      <w:pPr>
        <w:ind w:left="1160" w:hanging="504"/>
        <w:spacing w:after="0"/>
        <w:tabs>
          <w:tab w:leader="none" w:pos="11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Australian Bank Bill Swap Reference Rate (Bid) administered by ASX Benchmarks Pty Limited (ACN 616 075</w:t>
      </w:r>
    </w:p>
    <w:p>
      <w:pPr>
        <w:spacing w:after="0" w:line="15" w:lineRule="exact"/>
        <w:rPr>
          <w:rFonts w:ascii="Arial" w:cs="Arial" w:eastAsia="Arial" w:hAnsi="Arial"/>
          <w:sz w:val="19"/>
          <w:szCs w:val="19"/>
          <w:color w:val="auto"/>
        </w:rPr>
      </w:pPr>
    </w:p>
    <w:p>
      <w:pPr>
        <w:jc w:val="both"/>
        <w:ind w:firstLine="8"/>
        <w:spacing w:after="0" w:line="212" w:lineRule="auto"/>
        <w:tabs>
          <w:tab w:leader="none" w:pos="473" w:val="left"/>
        </w:tabs>
        <w:numPr>
          <w:ilvl w:val="0"/>
          <w:numId w:val="24"/>
        </w:numPr>
        <w:rPr>
          <w:rFonts w:ascii="Arial" w:cs="Arial" w:eastAsia="Arial" w:hAnsi="Arial"/>
          <w:sz w:val="22"/>
          <w:szCs w:val="22"/>
          <w:color w:val="auto"/>
        </w:rPr>
      </w:pPr>
      <w:r>
        <w:rPr>
          <w:rFonts w:ascii="Arial" w:cs="Arial" w:eastAsia="Arial" w:hAnsi="Arial"/>
          <w:sz w:val="22"/>
          <w:szCs w:val="22"/>
          <w:color w:val="auto"/>
        </w:rPr>
        <w:t>(or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9" w:name="page90"/>
    <w:bookmarkEnd w:id="89"/>
    <w:p>
      <w:pPr>
        <w:spacing w:after="0" w:line="247" w:lineRule="auto"/>
        <w:rPr>
          <w:sz w:val="20"/>
          <w:szCs w:val="20"/>
          <w:color w:val="auto"/>
        </w:rPr>
      </w:pPr>
      <w:r>
        <w:rPr>
          <w:rFonts w:ascii="Arial" w:cs="Arial" w:eastAsia="Arial" w:hAnsi="Arial"/>
          <w:sz w:val="21"/>
          <w:szCs w:val="21"/>
          <w:color w:val="auto"/>
        </w:rPr>
        <w:t>discretion) at or about 11:00 a.m. (Sydney, Australia time) on the first day of such Interest Period. If the AUD Screen Rate shall be less than zero, the AUD Screen Rate shall be deemed to be zero for purposes of this Agreement; and</w:t>
      </w:r>
    </w:p>
    <w:p>
      <w:pPr>
        <w:spacing w:after="0" w:line="151" w:lineRule="exact"/>
        <w:rPr>
          <w:sz w:val="20"/>
          <w:szCs w:val="20"/>
          <w:color w:val="auto"/>
        </w:rPr>
      </w:pPr>
    </w:p>
    <w:p>
      <w:pPr>
        <w:ind w:left="1120" w:hanging="464"/>
        <w:spacing w:after="0"/>
        <w:tabs>
          <w:tab w:leader="none" w:pos="11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the rate described in sub-paragraph (1) above is not available, the sum of:</w:t>
      </w:r>
    </w:p>
    <w:p>
      <w:pPr>
        <w:spacing w:after="0" w:line="179" w:lineRule="exact"/>
        <w:rPr>
          <w:rFonts w:ascii="Arial" w:cs="Arial" w:eastAsia="Arial" w:hAnsi="Arial"/>
          <w:sz w:val="22"/>
          <w:szCs w:val="22"/>
          <w:color w:val="auto"/>
        </w:rPr>
      </w:pPr>
    </w:p>
    <w:p>
      <w:pPr>
        <w:jc w:val="both"/>
        <w:ind w:left="660" w:firstLine="644"/>
        <w:spacing w:after="0" w:line="249" w:lineRule="auto"/>
        <w:tabs>
          <w:tab w:leader="none" w:pos="1848"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Australian Bank Bill Swap Reference Rate administered by ASX Benchmarks Pty Limited (or any other person which takes over the administration of that rate) for the relevant period displayed on page BBSW of the Reuters Screen (or any replacement Reuters page which displays that rate)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first day of such Interest Period; and</w:t>
      </w:r>
    </w:p>
    <w:p>
      <w:pPr>
        <w:spacing w:after="0" w:line="151" w:lineRule="exact"/>
        <w:rPr>
          <w:rFonts w:ascii="Arial" w:cs="Arial" w:eastAsia="Arial" w:hAnsi="Arial"/>
          <w:sz w:val="19"/>
          <w:szCs w:val="19"/>
          <w:color w:val="auto"/>
        </w:rPr>
      </w:pPr>
    </w:p>
    <w:p>
      <w:pPr>
        <w:ind w:left="1800" w:hanging="496"/>
        <w:spacing w:after="0"/>
        <w:tabs>
          <w:tab w:leader="none" w:pos="18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0.05 per cent per annum;</w:t>
      </w:r>
    </w:p>
    <w:p>
      <w:pPr>
        <w:spacing w:after="0" w:line="179" w:lineRule="exact"/>
        <w:rPr>
          <w:rFonts w:ascii="Arial" w:cs="Arial" w:eastAsia="Arial" w:hAnsi="Arial"/>
          <w:sz w:val="22"/>
          <w:szCs w:val="22"/>
          <w:color w:val="auto"/>
        </w:rPr>
      </w:pPr>
    </w:p>
    <w:p>
      <w:pPr>
        <w:jc w:val="both"/>
        <w:ind w:firstLine="656"/>
        <w:spacing w:after="0" w:line="224" w:lineRule="auto"/>
        <w:tabs>
          <w:tab w:leader="none" w:pos="1142" w:val="left"/>
        </w:tabs>
        <w:numPr>
          <w:ilvl w:val="0"/>
          <w:numId w:val="25"/>
        </w:numPr>
        <w:rPr>
          <w:rFonts w:ascii="Arial" w:cs="Arial" w:eastAsia="Arial" w:hAnsi="Arial"/>
          <w:sz w:val="21"/>
          <w:szCs w:val="21"/>
          <w:color w:val="auto"/>
        </w:rPr>
      </w:pPr>
      <w:r>
        <w:rPr>
          <w:rFonts w:ascii="Arial" w:cs="Arial" w:eastAsia="Arial" w:hAnsi="Arial"/>
          <w:sz w:val="21"/>
          <w:szCs w:val="21"/>
          <w:color w:val="auto"/>
        </w:rPr>
        <w:t>if (i) for any reason that rate is not displayed for a term equivalent to that period; or (ii) the basis on which that rate is displayed is changed or the relevant rate is otherwise unascertainable pursuant to the foregoing provision, and it is not possible to determine the AUD Interpolated Rate, then the AUD Screen Rate will be the rate determined by the Administrative Agent to be the average of the buying rates quoted to the Administrative Agent by three Reference Banks at or about that time on that date; provided, however, that such rate shall not be less than 0%. The buying rates must be for bills of exchange accepted by a leading Australian bank and which have a term equivalent to the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Auditors’ Determination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9.09(g)</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w:t>
      </w:r>
      <w:r>
        <w:rPr>
          <w:rFonts w:ascii="Arial" w:cs="Arial" w:eastAsia="Arial" w:hAnsi="Arial"/>
          <w:sz w:val="22"/>
          <w:szCs w:val="22"/>
          <w:color w:val="auto"/>
        </w:rPr>
        <w:t>” means the Commonwealth of Australia, including its states and territories (and “Australian” should be construed accordingly).</w:t>
      </w:r>
    </w:p>
    <w:p>
      <w:pPr>
        <w:spacing w:after="0" w:line="153" w:lineRule="exact"/>
        <w:rPr>
          <w:sz w:val="20"/>
          <w:szCs w:val="20"/>
          <w:color w:val="auto"/>
        </w:rPr>
      </w:pPr>
    </w:p>
    <w:p>
      <w:pPr>
        <w:ind w:right="6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Banking Code of Practice</w:t>
      </w:r>
      <w:r>
        <w:rPr>
          <w:rFonts w:ascii="Arial" w:cs="Arial" w:eastAsia="Arial" w:hAnsi="Arial"/>
          <w:sz w:val="22"/>
          <w:szCs w:val="22"/>
          <w:color w:val="auto"/>
        </w:rPr>
        <w:t>" means the Banking Code of Practice published by the Australian Banking Association, as amended, revised or amended and restated from time to time.</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Australian Collateral Agreements</w:t>
      </w:r>
      <w:r>
        <w:rPr>
          <w:rFonts w:ascii="Arial" w:cs="Arial" w:eastAsia="Arial" w:hAnsi="Arial"/>
          <w:sz w:val="19"/>
          <w:szCs w:val="19"/>
          <w:color w:val="auto"/>
        </w:rPr>
        <w:t>" shall mean the security agreements set forth on Schedule 4.01(b) under the heading “Australia” which agreements shall be granted in accordance with the Agreed Security Principles, in each case as may be amended, restated, supplemented or otherwise modified from time to time, and any other security agreement, pledge agreement or similar document governed by Australian law delivered by any Loan Party in favor of the Administrative Agent.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Controller</w:t>
      </w:r>
      <w:r>
        <w:rPr>
          <w:rFonts w:ascii="Arial" w:cs="Arial" w:eastAsia="Arial" w:hAnsi="Arial"/>
          <w:sz w:val="22"/>
          <w:szCs w:val="22"/>
          <w:color w:val="auto"/>
        </w:rPr>
        <w:t>” has the meaning given to the term “controller” in section 9 of the Corporations Act.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Corporations Act</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 (Australia).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Dollars</w:t>
      </w:r>
      <w:r>
        <w:rPr>
          <w:rFonts w:ascii="Arial" w:cs="Arial" w:eastAsia="Arial" w:hAnsi="Arial"/>
          <w:sz w:val="22"/>
          <w:szCs w:val="22"/>
          <w:color w:val="auto"/>
        </w:rPr>
        <w:t>” and “</w:t>
      </w:r>
      <w:r>
        <w:rPr>
          <w:rFonts w:ascii="Arial" w:cs="Arial" w:eastAsia="Arial" w:hAnsi="Arial"/>
          <w:sz w:val="22"/>
          <w:szCs w:val="22"/>
          <w:b w:val="1"/>
          <w:bCs w:val="1"/>
          <w:color w:val="auto"/>
        </w:rPr>
        <w:t>A$</w:t>
      </w:r>
      <w:r>
        <w:rPr>
          <w:rFonts w:ascii="Arial" w:cs="Arial" w:eastAsia="Arial" w:hAnsi="Arial"/>
          <w:sz w:val="22"/>
          <w:szCs w:val="22"/>
          <w:color w:val="auto"/>
        </w:rPr>
        <w:t>” means lawful money of the Commonwealth of Australia.</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GST</w:t>
      </w:r>
      <w:r>
        <w:rPr>
          <w:rFonts w:ascii="Arial" w:cs="Arial" w:eastAsia="Arial" w:hAnsi="Arial"/>
          <w:sz w:val="22"/>
          <w:szCs w:val="22"/>
          <w:color w:val="auto"/>
        </w:rPr>
        <w:t>” means goods and services tax or similar value added tax levied or imposed in Australia under the Australian GST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GST Act</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A New Tax System (Goods and Services Tax) Act 1999</w:t>
      </w:r>
      <w:r>
        <w:rPr>
          <w:rFonts w:ascii="Arial" w:cs="Arial" w:eastAsia="Arial" w:hAnsi="Arial"/>
          <w:sz w:val="22"/>
          <w:szCs w:val="22"/>
          <w:color w:val="auto"/>
        </w:rPr>
        <w:t xml:space="preserve"> (Cth).</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Loan Party</w:t>
      </w:r>
      <w:r>
        <w:rPr>
          <w:rFonts w:ascii="Arial" w:cs="Arial" w:eastAsia="Arial" w:hAnsi="Arial"/>
          <w:sz w:val="22"/>
          <w:szCs w:val="22"/>
          <w:color w:val="auto"/>
        </w:rPr>
        <w:t>” means a Loan Party that is incorporated in Australia. As of the Effective Date, the Australian Loan Parties shall constitute Fluence Energy Pty Ltd (ACN 627 071 461), an Australian corporation.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PPS Act</w:t>
      </w:r>
      <w:r>
        <w:rPr>
          <w:rFonts w:ascii="Arial" w:cs="Arial" w:eastAsia="Arial" w:hAnsi="Arial"/>
          <w:sz w:val="22"/>
          <w:szCs w:val="22"/>
          <w:color w:val="auto"/>
        </w:rPr>
        <w:t>” means the Personal Property Securities Act 2009 (Cth) (Australia).</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Australian PPS Law</w:t>
      </w:r>
      <w:r>
        <w:rPr>
          <w:rFonts w:ascii="Arial" w:cs="Arial" w:eastAsia="Arial" w:hAnsi="Arial"/>
          <w:sz w:val="19"/>
          <w:szCs w:val="19"/>
          <w:color w:val="auto"/>
        </w:rPr>
        <w:t>” means (a) the Australian PPS Act, (b) any regulations made under the Australian PPS Act, (c) any legislative instrument made under the Australian PPS Act, (d) any amendment to any of the above, made at any time, or (e) any amendment made at any time to any other legislation as a consequence of an Australian PPS Law referred to in clauses (a) to (d).</w:t>
      </w:r>
    </w:p>
    <w:p>
      <w:pPr>
        <w:spacing w:after="0" w:line="124" w:lineRule="exact"/>
        <w:rPr>
          <w:sz w:val="20"/>
          <w:szCs w:val="20"/>
          <w:color w:val="auto"/>
        </w:rPr>
      </w:pPr>
    </w:p>
    <w:p>
      <w:pPr>
        <w:ind w:right="3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Tax Act</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Income Tax Assessment Act 1936</w:t>
      </w:r>
      <w:r>
        <w:rPr>
          <w:rFonts w:ascii="Arial" w:cs="Arial" w:eastAsia="Arial" w:hAnsi="Arial"/>
          <w:sz w:val="22"/>
          <w:szCs w:val="22"/>
          <w:color w:val="auto"/>
        </w:rPr>
        <w:t xml:space="preserve"> (Cth) (Australia) or the </w:t>
      </w:r>
      <w:r>
        <w:rPr>
          <w:rFonts w:ascii="Arial" w:cs="Arial" w:eastAsia="Arial" w:hAnsi="Arial"/>
          <w:sz w:val="22"/>
          <w:szCs w:val="22"/>
          <w:i w:val="1"/>
          <w:iCs w:val="1"/>
          <w:color w:val="auto"/>
        </w:rPr>
        <w:t>Income Tax Assessment Act</w:t>
      </w:r>
      <w:r>
        <w:rPr>
          <w:rFonts w:ascii="Arial" w:cs="Arial" w:eastAsia="Arial" w:hAnsi="Arial"/>
          <w:sz w:val="22"/>
          <w:szCs w:val="22"/>
          <w:color w:val="auto"/>
        </w:rPr>
        <w:t xml:space="preserve"> 1997 (Cth) (Australia), as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Australian Tax Consolidated Group</w:t>
      </w:r>
      <w:r>
        <w:rPr>
          <w:rFonts w:ascii="Arial" w:cs="Arial" w:eastAsia="Arial" w:hAnsi="Arial"/>
          <w:sz w:val="19"/>
          <w:szCs w:val="19"/>
          <w:color w:val="auto"/>
        </w:rPr>
        <w:t>” means a Consolidated Group or a MEC Group as defined in the Australian Tax</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Australian Tax Funding Agreement</w:t>
      </w:r>
      <w:r>
        <w:rPr>
          <w:rFonts w:ascii="Arial" w:cs="Arial" w:eastAsia="Arial" w:hAnsi="Arial"/>
          <w:sz w:val="19"/>
          <w:szCs w:val="19"/>
          <w:color w:val="auto"/>
        </w:rPr>
        <w:t>” means any tax funding agreement for Australian tax consolidation purposes.</w:t>
      </w:r>
    </w:p>
    <w:p>
      <w:pPr>
        <w:spacing w:after="0" w:line="241" w:lineRule="exact"/>
        <w:rPr>
          <w:sz w:val="20"/>
          <w:szCs w:val="20"/>
          <w:color w:val="auto"/>
        </w:rPr>
      </w:pPr>
    </w:p>
    <w:p>
      <w:pPr>
        <w:ind w:right="26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Australian Tax Sharing Agreement</w:t>
      </w:r>
      <w:r>
        <w:rPr>
          <w:rFonts w:ascii="Arial" w:cs="Arial" w:eastAsia="Arial" w:hAnsi="Arial"/>
          <w:sz w:val="19"/>
          <w:szCs w:val="19"/>
          <w:color w:val="auto"/>
        </w:rPr>
        <w:t>” means any tax sharing agreement for Australian tax consolidation purposes that satisfies the requirements of section 721-25 of the Australian Tax Act for being a valid tax sharing agreement.</w:t>
      </w:r>
    </w:p>
    <w:p>
      <w:pPr>
        <w:spacing w:after="0" w:line="9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Availability Period</w:t>
      </w:r>
      <w:r>
        <w:rPr>
          <w:rFonts w:ascii="Arial" w:cs="Arial" w:eastAsia="Arial" w:hAnsi="Arial"/>
          <w:sz w:val="22"/>
          <w:szCs w:val="22"/>
          <w:color w:val="auto"/>
        </w:rPr>
        <w:t>” means the period from and including the Effective Date to but excluding the earlier of the Maturity Date and the date of termination of the Commitments.</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Tenor</w:t>
      </w:r>
      <w:r>
        <w:rPr>
          <w:rFonts w:ascii="Arial" w:cs="Arial" w:eastAsia="Arial" w:hAnsi="Arial"/>
          <w:sz w:val="19"/>
          <w:szCs w:val="19"/>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4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5" w:right="339" w:bottom="1440" w:gutter="0" w:footer="0" w:header="0"/>
        </w:sectPr>
      </w:pPr>
    </w:p>
    <w:bookmarkStart w:id="91" w:name="page92"/>
    <w:bookmarkEnd w:id="91"/>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means, initially, with respect to any (i) RFR Loan in any Agreed Currency, the applicable Relevant Rate for such Agreed Currency or (ii) Term Benchmark Loan, the Relevant Rate for such Agreed Currency;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w:t>
      </w:r>
      <w:r>
        <w:rPr>
          <w:rFonts w:ascii="Arial" w:cs="Arial" w:eastAsia="Arial" w:hAnsi="Arial"/>
          <w:sz w:val="22"/>
          <w:szCs w:val="22"/>
          <w:color w:val="FF0000"/>
          <w:strike w:val="1"/>
        </w:rPr>
        <w:t>, a Term SOFR Transition Event, an Early Opt-in Election or an Other Benchmark Rate Election, as</w:t>
      </w:r>
      <w:r>
        <w:rPr>
          <w:rFonts w:ascii="Arial" w:cs="Arial" w:eastAsia="Arial" w:hAnsi="Arial"/>
          <w:sz w:val="22"/>
          <w:szCs w:val="22"/>
          <w:color w:val="auto"/>
        </w:rPr>
        <w:t xml:space="preserve"> </w:t>
      </w:r>
      <w:r>
        <w:rPr>
          <w:rFonts w:ascii="Arial" w:cs="Arial" w:eastAsia="Arial" w:hAnsi="Arial"/>
          <w:sz w:val="22"/>
          <w:szCs w:val="22"/>
          <w:color w:val="FF0000"/>
          <w:strike w:val="1"/>
        </w:rPr>
        <w:t>applicable, and its</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and the</w:t>
      </w:r>
      <w:r>
        <w:rPr>
          <w:rFonts w:ascii="Arial" w:cs="Arial" w:eastAsia="Arial" w:hAnsi="Arial"/>
          <w:sz w:val="22"/>
          <w:szCs w:val="22"/>
          <w:color w:val="FF0000"/>
        </w:rPr>
        <w:t xml:space="preserve"> </w:t>
      </w:r>
      <w:r>
        <w:rPr>
          <w:rFonts w:ascii="Arial" w:cs="Arial" w:eastAsia="Arial" w:hAnsi="Arial"/>
          <w:sz w:val="22"/>
          <w:szCs w:val="22"/>
          <w:color w:val="000000"/>
        </w:rPr>
        <w:t>related Benchmark Replacement Date have occurred with respect to the applicable Relevant Rate or</w:t>
      </w:r>
      <w:r>
        <w:rPr>
          <w:rFonts w:ascii="Arial" w:cs="Arial" w:eastAsia="Arial" w:hAnsi="Arial"/>
          <w:sz w:val="22"/>
          <w:szCs w:val="22"/>
          <w:color w:val="FF0000"/>
        </w:rPr>
        <w:t xml:space="preserve"> </w:t>
      </w:r>
      <w:r>
        <w:rPr>
          <w:rFonts w:ascii="Arial" w:cs="Arial" w:eastAsia="Arial" w:hAnsi="Arial"/>
          <w:sz w:val="22"/>
          <w:szCs w:val="22"/>
          <w:color w:val="000000"/>
        </w:rPr>
        <w:t xml:space="preserve">the then-current Benchmark for such Agreed Currency, then “Benchmark” means the applicable Benchmark Replacement to the extent that such Benchmark Replacement has replaced such prior benchmark rate pursuant to </w:t>
      </w:r>
      <w:r>
        <w:rPr>
          <w:rFonts w:ascii="Arial" w:cs="Arial" w:eastAsia="Arial" w:hAnsi="Arial"/>
          <w:sz w:val="22"/>
          <w:szCs w:val="22"/>
          <w:u w:val="single" w:color="auto"/>
          <w:color w:val="000000"/>
        </w:rPr>
        <w:t>clause (b)</w:t>
      </w:r>
      <w:r>
        <w:rPr>
          <w:rFonts w:ascii="Arial" w:cs="Arial" w:eastAsia="Arial" w:hAnsi="Arial"/>
          <w:sz w:val="22"/>
          <w:szCs w:val="22"/>
          <w:color w:val="000000"/>
        </w:rPr>
        <w:t xml:space="preserve"> </w:t>
      </w:r>
      <w:r>
        <w:rPr>
          <w:rFonts w:ascii="Arial" w:cs="Arial" w:eastAsia="Arial" w:hAnsi="Arial"/>
          <w:sz w:val="22"/>
          <w:szCs w:val="22"/>
          <w:color w:val="FF0000"/>
          <w:strike w:val="1"/>
        </w:rPr>
        <w:t>or</w:t>
      </w:r>
      <w:r>
        <w:rPr>
          <w:rFonts w:ascii="Arial" w:cs="Arial" w:eastAsia="Arial" w:hAnsi="Arial"/>
          <w:sz w:val="22"/>
          <w:szCs w:val="22"/>
          <w:color w:val="000000"/>
        </w:rPr>
        <w:t xml:space="preserve"> </w:t>
      </w:r>
      <w:r>
        <w:rPr>
          <w:rFonts w:ascii="Arial" w:cs="Arial" w:eastAsia="Arial" w:hAnsi="Arial"/>
          <w:sz w:val="22"/>
          <w:szCs w:val="22"/>
          <w:u w:val="single" w:color="auto"/>
          <w:color w:val="FF0000"/>
          <w:strike w:val="1"/>
        </w:rPr>
        <w:t>clause (c)</w:t>
      </w:r>
      <w:r>
        <w:rPr>
          <w:rFonts w:ascii="Arial" w:cs="Arial" w:eastAsia="Arial" w:hAnsi="Arial"/>
          <w:sz w:val="22"/>
          <w:szCs w:val="22"/>
          <w:color w:val="000000"/>
        </w:rPr>
        <w:t xml:space="preserve"> of </w:t>
      </w:r>
      <w:r>
        <w:rPr>
          <w:rFonts w:ascii="Arial" w:cs="Arial" w:eastAsia="Arial" w:hAnsi="Arial"/>
          <w:sz w:val="22"/>
          <w:szCs w:val="22"/>
          <w:u w:val="single" w:color="auto"/>
          <w:color w:val="000000"/>
        </w:rPr>
        <w:t>Section</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2.11</w:t>
      </w:r>
      <w:r>
        <w:rPr>
          <w:rFonts w:ascii="Arial" w:cs="Arial" w:eastAsia="Arial" w:hAnsi="Arial"/>
          <w:sz w:val="22"/>
          <w:szCs w:val="22"/>
          <w:color w:val="000000"/>
        </w:rPr>
        <w:t>.</w:t>
      </w:r>
    </w:p>
    <w:p>
      <w:pPr>
        <w:spacing w:after="0" w:line="15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w:t>
      </w:r>
      <w:r>
        <w:rPr>
          <w:rFonts w:ascii="Arial" w:cs="Arial" w:eastAsia="Arial" w:hAnsi="Arial"/>
          <w:sz w:val="22"/>
          <w:szCs w:val="22"/>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Loan denominated in an Alternative Currency </w:t>
      </w:r>
      <w:r>
        <w:rPr>
          <w:rFonts w:ascii="Arial" w:cs="Arial" w:eastAsia="Arial" w:hAnsi="Arial"/>
          <w:sz w:val="22"/>
          <w:szCs w:val="22"/>
          <w:color w:val="FF0000"/>
        </w:rPr>
        <w:t>or in the case of an Other Benchmark Rate Election</w:t>
      </w:r>
      <w:r>
        <w:rPr>
          <w:rFonts w:ascii="Arial" w:cs="Arial" w:eastAsia="Arial" w:hAnsi="Arial"/>
          <w:sz w:val="22"/>
          <w:szCs w:val="22"/>
          <w:color w:val="auto"/>
        </w:rPr>
        <w:t>, “Benchmark Replacement” shall mean the alternative set forth in (</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-219710</wp:posOffset>
            </wp:positionV>
            <wp:extent cx="2981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38" w:lineRule="exact"/>
        <w:rPr>
          <w:sz w:val="20"/>
          <w:szCs w:val="20"/>
          <w:color w:val="auto"/>
        </w:rPr>
      </w:pPr>
    </w:p>
    <w:p>
      <w:pPr>
        <w:ind w:left="660" w:firstLine="644"/>
        <w:spacing w:after="0" w:line="232" w:lineRule="auto"/>
        <w:tabs>
          <w:tab w:leader="none" w:pos="1815" w:val="left"/>
        </w:tabs>
        <w:numPr>
          <w:ilvl w:val="0"/>
          <w:numId w:val="26"/>
        </w:numPr>
        <w:rPr>
          <w:rFonts w:ascii="Arial" w:cs="Arial" w:eastAsia="Arial" w:hAnsi="Arial"/>
          <w:sz w:val="22"/>
          <w:szCs w:val="22"/>
          <w:color w:val="FF0000"/>
          <w:strike w:val="1"/>
        </w:rPr>
      </w:pPr>
      <w:r>
        <w:rPr>
          <w:rFonts w:ascii="Arial" w:cs="Arial" w:eastAsia="Arial" w:hAnsi="Arial"/>
          <w:sz w:val="22"/>
          <w:szCs w:val="22"/>
          <w:color w:val="008000"/>
          <w:strike w:val="1"/>
        </w:rPr>
        <w:t xml:space="preserve">in the case of any </w:t>
      </w:r>
      <w:r>
        <w:rPr>
          <w:rFonts w:ascii="Arial" w:cs="Arial" w:eastAsia="Arial" w:hAnsi="Arial"/>
          <w:sz w:val="22"/>
          <w:szCs w:val="22"/>
          <w:color w:val="FF0000"/>
          <w:strike w:val="1"/>
        </w:rPr>
        <w:t>Loan denominated in Dollars, the sum of: (a) Term SOFR and (b) the related Benchmark</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Replacement Adjustment;</w:t>
      </w:r>
    </w:p>
    <w:p>
      <w:pPr>
        <w:spacing w:after="0" w:line="159"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2</w:t>
      </w:r>
      <w:r>
        <w:rPr>
          <w:rFonts w:ascii="Arial" w:cs="Arial" w:eastAsia="Arial" w:hAnsi="Arial"/>
          <w:sz w:val="22"/>
          <w:szCs w:val="22"/>
          <w:u w:val="single" w:color="auto"/>
          <w:color w:val="0000FF"/>
        </w:rPr>
        <w:t>1</w:t>
      </w:r>
      <w:r>
        <w:rPr>
          <w:rFonts w:ascii="Arial" w:cs="Arial" w:eastAsia="Arial" w:hAnsi="Arial"/>
          <w:sz w:val="22"/>
          <w:szCs w:val="22"/>
          <w:color w:val="auto"/>
        </w:rPr>
        <w:t xml:space="preserve">) in the case of any Loan denominated in Dollars, </w:t>
      </w:r>
      <w:r>
        <w:rPr>
          <w:rFonts w:ascii="Arial" w:cs="Arial" w:eastAsia="Arial" w:hAnsi="Arial"/>
          <w:sz w:val="22"/>
          <w:szCs w:val="22"/>
          <w:color w:val="FF0000"/>
          <w:strike w:val="1"/>
        </w:rPr>
        <w:t>the sum of: (a)</w:t>
      </w:r>
      <w:r>
        <w:rPr>
          <w:rFonts w:ascii="Arial" w:cs="Arial" w:eastAsia="Arial" w:hAnsi="Arial"/>
          <w:sz w:val="22"/>
          <w:szCs w:val="22"/>
          <w:u w:val="single" w:color="auto"/>
          <w:color w:val="0000FF"/>
        </w:rPr>
        <w:t>Adjusted</w:t>
      </w:r>
      <w:r>
        <w:rPr>
          <w:rFonts w:ascii="Arial" w:cs="Arial" w:eastAsia="Arial" w:hAnsi="Arial"/>
          <w:sz w:val="22"/>
          <w:szCs w:val="22"/>
          <w:color w:val="auto"/>
        </w:rPr>
        <w:t xml:space="preserve"> Daily Simple SOFR </w:t>
      </w:r>
      <w:r>
        <w:rPr>
          <w:rFonts w:ascii="Arial" w:cs="Arial" w:eastAsia="Arial" w:hAnsi="Arial"/>
          <w:sz w:val="22"/>
          <w:szCs w:val="22"/>
          <w:color w:val="FF0000"/>
        </w:rPr>
        <w:t>and (b) the</w:t>
      </w:r>
      <w:r>
        <w:rPr>
          <w:rFonts w:ascii="Arial" w:cs="Arial" w:eastAsia="Arial" w:hAnsi="Arial"/>
          <w:sz w:val="22"/>
          <w:szCs w:val="22"/>
          <w:color w:val="auto"/>
        </w:rPr>
        <w:t xml:space="preserve"> </w:t>
      </w:r>
      <w:r>
        <w:rPr>
          <w:rFonts w:ascii="Arial" w:cs="Arial" w:eastAsia="Arial" w:hAnsi="Arial"/>
          <w:sz w:val="22"/>
          <w:szCs w:val="22"/>
          <w:color w:val="FF0000"/>
          <w:strike w:val="1"/>
        </w:rPr>
        <w:t>related Benchmark Replacement Adjustment</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6480175</wp:posOffset>
            </wp:positionH>
            <wp:positionV relativeFrom="paragraph">
              <wp:posOffset>-219075</wp:posOffset>
            </wp:positionV>
            <wp:extent cx="657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57225" cy="8255"/>
                    </a:xfrm>
                    <a:prstGeom prst="rect">
                      <a:avLst/>
                    </a:prstGeom>
                    <a:noFill/>
                  </pic:spPr>
                </pic:pic>
              </a:graphicData>
            </a:graphic>
          </wp:anchor>
        </w:drawing>
      </w:r>
    </w:p>
    <w:p>
      <w:pPr>
        <w:spacing w:after="0" w:line="139"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3</w:t>
      </w:r>
      <w:r>
        <w:rPr>
          <w:rFonts w:ascii="Arial" w:cs="Arial" w:eastAsia="Arial" w:hAnsi="Arial"/>
          <w:sz w:val="19"/>
          <w:szCs w:val="19"/>
          <w:u w:val="single" w:color="auto"/>
          <w:color w:val="0000FF"/>
        </w:rPr>
        <w:t>2</w:t>
      </w:r>
      <w:r>
        <w:rPr>
          <w:rFonts w:ascii="Arial" w:cs="Arial" w:eastAsia="Arial" w:hAnsi="Arial"/>
          <w:sz w:val="19"/>
          <w:szCs w:val="19"/>
          <w:color w:val="auto"/>
        </w:rPr>
        <w:t>)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p>
    <w:p>
      <w:pPr>
        <w:spacing w:after="0" w:line="15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u w:val="single" w:color="auto"/>
          <w:color w:val="FF0000"/>
          <w:strike w:val="1"/>
        </w:rPr>
        <w:t xml:space="preserve">provided </w:t>
      </w:r>
      <w:r>
        <w:rPr>
          <w:rFonts w:ascii="Arial" w:cs="Arial" w:eastAsia="Arial" w:hAnsi="Arial"/>
          <w:sz w:val="21"/>
          <w:szCs w:val="21"/>
          <w:color w:val="FF0000"/>
          <w:strike w:val="1"/>
        </w:rPr>
        <w:t>that, in the case of clause (1), such Unadjusted Benchmark Replacement is displayed on a screen or other information</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 xml:space="preserve">service that publishes such rate from time to time as selected by the Administrative Agent in its reasonable discretion;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FF0000"/>
          <w:strike w:val="1"/>
        </w:rPr>
        <w:t xml:space="preserve">further </w:t>
      </w:r>
      <w:r>
        <w:rPr>
          <w:rFonts w:ascii="Arial" w:cs="Arial" w:eastAsia="Arial" w:hAnsi="Arial"/>
          <w:sz w:val="21"/>
          <w:szCs w:val="21"/>
          <w:color w:val="FF0000"/>
          <w:strike w:val="1"/>
        </w:rPr>
        <w:t>that, in the case of clause (3), when such clause is used to determine the Benchmark Replacement in connection with the</w:t>
      </w:r>
      <w:r>
        <w:rPr>
          <w:rFonts w:ascii="Arial" w:cs="Arial" w:eastAsia="Arial" w:hAnsi="Arial"/>
          <w:sz w:val="21"/>
          <w:szCs w:val="21"/>
          <w:u w:val="single" w:color="auto"/>
          <w:color w:val="FF0000"/>
          <w:strike w:val="1"/>
        </w:rPr>
        <w:t xml:space="preserve"> </w:t>
      </w:r>
      <w:r>
        <w:rPr>
          <w:rFonts w:ascii="Arial" w:cs="Arial" w:eastAsia="Arial" w:hAnsi="Arial"/>
          <w:sz w:val="21"/>
          <w:szCs w:val="21"/>
          <w:color w:val="FF0000"/>
          <w:strike w:val="1"/>
        </w:rPr>
        <w:t xml:space="preserve">occurrence of an Other Benchmark Rate Election, the alternate benchmark rate selected by the Administrative Agent and the Borrower shall be the term benchmark rate that is used in lieu of a LIBOR-based rate in the relevant other Dollar-denominated syndicated credit facilities; </w:t>
      </w:r>
      <w:r>
        <w:rPr>
          <w:rFonts w:ascii="Arial" w:cs="Arial" w:eastAsia="Arial" w:hAnsi="Arial"/>
          <w:sz w:val="21"/>
          <w:szCs w:val="21"/>
          <w:u w:val="single" w:color="auto"/>
          <w:color w:val="FF0000"/>
          <w:strike w:val="1"/>
        </w:rPr>
        <w:t>provided further</w:t>
      </w:r>
      <w:r>
        <w:rPr>
          <w:rFonts w:ascii="Arial" w:cs="Arial" w:eastAsia="Arial" w:hAnsi="Arial"/>
          <w:sz w:val="21"/>
          <w:szCs w:val="21"/>
          <w:color w:val="FF0000"/>
          <w:strike w:val="1"/>
        </w:rPr>
        <w:t xml:space="preserve">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If the Benchmark Replacement as determined pursuant to clause (1)</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or</w:t>
      </w:r>
      <w:r>
        <w:rPr>
          <w:rFonts w:ascii="Arial" w:cs="Arial" w:eastAsia="Arial" w:hAnsi="Arial"/>
          <w:sz w:val="19"/>
          <w:szCs w:val="19"/>
          <w:color w:val="auto"/>
        </w:rPr>
        <w:t xml:space="preserve"> (2</w:t>
      </w:r>
      <w:r>
        <w:rPr>
          <w:rFonts w:ascii="Arial" w:cs="Arial" w:eastAsia="Arial" w:hAnsi="Arial"/>
          <w:sz w:val="19"/>
          <w:szCs w:val="19"/>
          <w:color w:val="FF0000"/>
          <w:strike w:val="1"/>
        </w:rPr>
        <w:t>) or (3</w:t>
      </w:r>
      <w:r>
        <w:rPr>
          <w:rFonts w:ascii="Arial" w:cs="Arial" w:eastAsia="Arial" w:hAnsi="Arial"/>
          <w:sz w:val="19"/>
          <w:szCs w:val="19"/>
          <w:color w:val="auto"/>
        </w:rPr>
        <w:t>)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92" w:name="page93"/>
    <w:bookmarkEnd w:id="92"/>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r>
        <w:rPr>
          <w:rFonts w:ascii="Arial" w:cs="Arial" w:eastAsia="Arial" w:hAnsi="Arial"/>
          <w:sz w:val="22"/>
          <w:szCs w:val="22"/>
          <w:color w:val="FF0000"/>
          <w:strike w:val="1"/>
        </w:rPr>
        <w:t>:</w:t>
      </w:r>
    </w:p>
    <w:p>
      <w:pPr>
        <w:spacing w:after="0" w:line="159" w:lineRule="exact"/>
        <w:rPr>
          <w:sz w:val="20"/>
          <w:szCs w:val="20"/>
          <w:color w:val="auto"/>
        </w:rPr>
      </w:pPr>
    </w:p>
    <w:p>
      <w:pPr>
        <w:ind w:left="1460" w:hanging="156"/>
        <w:spacing w:after="0"/>
        <w:tabs>
          <w:tab w:leader="none" w:pos="1460" w:val="left"/>
        </w:tabs>
        <w:numPr>
          <w:ilvl w:val="0"/>
          <w:numId w:val="27"/>
        </w:numPr>
        <w:rPr>
          <w:rFonts w:ascii="Arial" w:cs="Arial" w:eastAsia="Arial" w:hAnsi="Arial"/>
          <w:sz w:val="19"/>
          <w:szCs w:val="19"/>
          <w:u w:val="single" w:color="auto"/>
          <w:color w:val="0000FF"/>
        </w:rPr>
      </w:pPr>
      <w:r>
        <w:rPr>
          <w:rFonts w:ascii="Arial" w:cs="Arial" w:eastAsia="Arial" w:hAnsi="Arial"/>
          <w:sz w:val="19"/>
          <w:szCs w:val="19"/>
          <w:u w:val="single" w:color="auto"/>
          <w:color w:val="008000"/>
        </w:rPr>
        <w:t>the spread adjustment, or method for calculating or determining such spread adjustment, (which may be a</w:t>
      </w:r>
    </w:p>
    <w:p>
      <w:pPr>
        <w:spacing w:after="0" w:line="16" w:lineRule="exact"/>
        <w:rPr>
          <w:sz w:val="20"/>
          <w:szCs w:val="20"/>
          <w:color w:val="auto"/>
        </w:rPr>
      </w:pPr>
    </w:p>
    <w:p>
      <w:pPr>
        <w:jc w:val="both"/>
        <w:ind w:left="660"/>
        <w:spacing w:after="0" w:line="217" w:lineRule="auto"/>
        <w:rPr>
          <w:sz w:val="20"/>
          <w:szCs w:val="20"/>
          <w:color w:val="auto"/>
        </w:rPr>
      </w:pPr>
      <w:r>
        <w:rPr>
          <w:rFonts w:ascii="Arial" w:cs="Arial" w:eastAsia="Arial" w:hAnsi="Arial"/>
          <w:sz w:val="22"/>
          <w:szCs w:val="22"/>
          <w:u w:val="single" w:color="auto"/>
          <w:color w:val="008000"/>
        </w:rPr>
        <w:t xml:space="preserve">positive or negative value or zero) that has been selected by </w:t>
      </w:r>
      <w:r>
        <w:rPr>
          <w:rFonts w:ascii="Arial" w:cs="Arial" w:eastAsia="Arial" w:hAnsi="Arial"/>
          <w:sz w:val="22"/>
          <w:szCs w:val="22"/>
          <w:color w:val="FF0000"/>
          <w:strike w:val="1"/>
        </w:rPr>
        <w:t>(1) for purposes of clauses (1) and (2) of the definition of</w:t>
      </w:r>
      <w:r>
        <w:rPr>
          <w:rFonts w:ascii="Arial" w:cs="Arial" w:eastAsia="Arial" w:hAnsi="Arial"/>
          <w:sz w:val="22"/>
          <w:szCs w:val="22"/>
          <w:u w:val="single" w:color="auto"/>
          <w:color w:val="008000"/>
        </w:rPr>
        <w:t xml:space="preserve"> </w:t>
      </w:r>
      <w:r>
        <w:rPr>
          <w:rFonts w:ascii="Arial" w:cs="Arial" w:eastAsia="Arial" w:hAnsi="Arial"/>
          <w:sz w:val="22"/>
          <w:szCs w:val="22"/>
          <w:color w:val="FF0000"/>
          <w:strike w:val="1"/>
        </w:rPr>
        <w:t>“Benchmark Replacement,” the first alternative set forth in the order below that can be determined by the Administrative Agent:</w:t>
      </w:r>
    </w:p>
    <w:p>
      <w:pPr>
        <w:spacing w:after="0" w:line="160" w:lineRule="exact"/>
        <w:rPr>
          <w:sz w:val="20"/>
          <w:szCs w:val="20"/>
          <w:color w:val="auto"/>
        </w:rPr>
      </w:pPr>
    </w:p>
    <w:p>
      <w:pPr>
        <w:jc w:val="both"/>
        <w:ind w:left="1300" w:firstLine="652"/>
        <w:spacing w:after="0" w:line="257" w:lineRule="auto"/>
        <w:tabs>
          <w:tab w:leader="none" w:pos="2431" w:val="left"/>
        </w:tabs>
        <w:numPr>
          <w:ilvl w:val="1"/>
          <w:numId w:val="28"/>
        </w:numPr>
        <w:rPr>
          <w:rFonts w:ascii="Arial" w:cs="Arial" w:eastAsia="Arial" w:hAnsi="Arial"/>
          <w:sz w:val="19"/>
          <w:szCs w:val="19"/>
          <w:color w:val="FF0000"/>
          <w:strike w:val="1"/>
        </w:rPr>
      </w:pPr>
      <w:r>
        <w:rPr>
          <w:rFonts w:ascii="Arial" w:cs="Arial" w:eastAsia="Arial" w:hAnsi="Arial"/>
          <w:sz w:val="19"/>
          <w:szCs w:val="19"/>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44" w:lineRule="exact"/>
        <w:rPr>
          <w:rFonts w:ascii="Arial" w:cs="Arial" w:eastAsia="Arial" w:hAnsi="Arial"/>
          <w:sz w:val="19"/>
          <w:szCs w:val="19"/>
          <w:color w:val="FF0000"/>
          <w:strike w:val="1"/>
        </w:rPr>
      </w:pPr>
    </w:p>
    <w:p>
      <w:pPr>
        <w:jc w:val="both"/>
        <w:ind w:left="1300" w:firstLine="652"/>
        <w:spacing w:after="0" w:line="218" w:lineRule="auto"/>
        <w:tabs>
          <w:tab w:leader="none" w:pos="2459" w:val="left"/>
        </w:tabs>
        <w:numPr>
          <w:ilvl w:val="1"/>
          <w:numId w:val="28"/>
        </w:numPr>
        <w:rPr>
          <w:rFonts w:ascii="Arial" w:cs="Arial" w:eastAsia="Arial" w:hAnsi="Arial"/>
          <w:sz w:val="22"/>
          <w:szCs w:val="22"/>
          <w:color w:val="FF0000"/>
          <w:strike w:val="1"/>
        </w:rPr>
      </w:pPr>
      <w:r>
        <w:rPr>
          <w:rFonts w:ascii="Arial" w:cs="Arial" w:eastAsia="Arial" w:hAnsi="Arial"/>
          <w:sz w:val="22"/>
          <w:szCs w:val="22"/>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60" w:lineRule="exact"/>
        <w:rPr>
          <w:rFonts w:ascii="Arial" w:cs="Arial" w:eastAsia="Arial" w:hAnsi="Arial"/>
          <w:sz w:val="22"/>
          <w:szCs w:val="22"/>
          <w:color w:val="FF0000"/>
          <w:strike w:val="1"/>
        </w:rPr>
      </w:pPr>
    </w:p>
    <w:p>
      <w:pPr>
        <w:jc w:val="both"/>
        <w:ind w:firstLine="656"/>
        <w:spacing w:after="0" w:line="221" w:lineRule="auto"/>
        <w:tabs>
          <w:tab w:leader="none" w:pos="1220" w:val="left"/>
        </w:tabs>
        <w:numPr>
          <w:ilvl w:val="0"/>
          <w:numId w:val="29"/>
        </w:numPr>
        <w:rPr>
          <w:rFonts w:ascii="Arial" w:cs="Arial" w:eastAsia="Arial" w:hAnsi="Arial"/>
          <w:sz w:val="21"/>
          <w:szCs w:val="21"/>
          <w:color w:val="FF0000"/>
          <w:strike w:val="1"/>
        </w:rPr>
      </w:pPr>
      <w:r>
        <w:rPr>
          <w:rFonts w:ascii="Arial" w:cs="Arial" w:eastAsia="Arial" w:hAnsi="Arial"/>
          <w:sz w:val="21"/>
          <w:szCs w:val="21"/>
          <w:color w:val="FF0000"/>
          <w:strike w:val="1"/>
        </w:rPr>
        <w:t xml:space="preserve">for purposes of clause (3) of the definition of “Benchmark Replacement,” </w:t>
      </w:r>
      <w:r>
        <w:rPr>
          <w:rFonts w:ascii="Arial" w:cs="Arial" w:eastAsia="Arial" w:hAnsi="Arial"/>
          <w:sz w:val="21"/>
          <w:szCs w:val="21"/>
          <w:color w:val="008000"/>
          <w:strike w:val="1"/>
        </w:rPr>
        <w:t>the spread adjustment, or method for</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calculating or determining such spread adjustment, (which may be a positive or negative value or zero) that has been selected by </w:t>
      </w:r>
      <w:r>
        <w:rPr>
          <w:rFonts w:ascii="Arial" w:cs="Arial" w:eastAsia="Arial" w:hAnsi="Arial"/>
          <w:sz w:val="21"/>
          <w:szCs w:val="21"/>
          <w:color w:val="FF0000"/>
          <w:strike w:val="1"/>
        </w:rPr>
        <w:t>the</w:t>
      </w:r>
      <w:r>
        <w:rPr>
          <w:rFonts w:ascii="Arial" w:cs="Arial" w:eastAsia="Arial" w:hAnsi="Arial"/>
          <w:sz w:val="21"/>
          <w:szCs w:val="21"/>
          <w:u w:val="single" w:color="auto"/>
          <w:color w:val="0000FF"/>
          <w:strike w:val="1"/>
        </w:rPr>
        <w:t>the</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Administrative Agent and the Borrower for the applicable Corresponding Tenor giving due consideration to (i) any</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r>
        <w:rPr>
          <w:rFonts w:ascii="Arial" w:cs="Arial" w:eastAsia="Arial" w:hAnsi="Arial"/>
          <w:sz w:val="21"/>
          <w:szCs w:val="21"/>
          <w:color w:val="FF0000"/>
          <w:strike w:val="1"/>
        </w:rPr>
        <w:t>;</w:t>
      </w:r>
      <w:r>
        <w:rPr>
          <w:rFonts w:ascii="Arial" w:cs="Arial" w:eastAsia="Arial" w:hAnsi="Arial"/>
          <w:sz w:val="21"/>
          <w:szCs w:val="21"/>
          <w:u w:val="single" w:color="auto"/>
          <w:color w:val="0000FF"/>
          <w:strike w:val="1"/>
        </w:rPr>
        <w:t>.</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u w:val="single" w:color="auto"/>
          <w:color w:val="FF0000"/>
          <w:strike w:val="1"/>
        </w:rPr>
        <w:t xml:space="preserve">provided </w:t>
      </w:r>
      <w:r>
        <w:rPr>
          <w:rFonts w:ascii="Arial" w:cs="Arial" w:eastAsia="Arial" w:hAnsi="Arial"/>
          <w:sz w:val="19"/>
          <w:szCs w:val="19"/>
          <w:color w:val="FF0000"/>
          <w:strike w:val="1"/>
        </w:rPr>
        <w:t>that, in the case of clause (1) above, such adjustment is displayed on a screen or other information service that publishes</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such Benchmark Replacement Adjustment from time to time as selected by the Administrative Agent in its reasonable discretion.</w:t>
      </w:r>
    </w:p>
    <w:p>
      <w:pPr>
        <w:spacing w:after="0" w:line="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 Conforming Changes</w:t>
      </w:r>
      <w:r>
        <w:rPr>
          <w:rFonts w:ascii="Arial" w:cs="Arial" w:eastAsia="Arial" w:hAnsi="Arial"/>
          <w:sz w:val="19"/>
          <w:szCs w:val="19"/>
          <w:color w:val="auto"/>
        </w:rPr>
        <w:t xml:space="preserve">” means, with respect to any Benchmark Replacement </w:t>
      </w:r>
      <w:r>
        <w:rPr>
          <w:rFonts w:ascii="Arial" w:cs="Arial" w:eastAsia="Arial" w:hAnsi="Arial"/>
          <w:sz w:val="19"/>
          <w:szCs w:val="19"/>
          <w:u w:val="single" w:color="auto"/>
          <w:color w:val="0000FF"/>
        </w:rPr>
        <w:t>and/or 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Benchmark Loan</w:t>
      </w:r>
      <w:r>
        <w:rPr>
          <w:rFonts w:ascii="Arial" w:cs="Arial" w:eastAsia="Arial" w:hAnsi="Arial"/>
          <w:sz w:val="19"/>
          <w:szCs w:val="19"/>
          <w:color w:val="000000"/>
        </w:rPr>
        <w:t>, any technical, administrative or operational changes (including changes to the definition of “Alternate Base</w:t>
      </w:r>
      <w:r>
        <w:rPr>
          <w:rFonts w:ascii="Arial" w:cs="Arial" w:eastAsia="Arial" w:hAnsi="Arial"/>
          <w:sz w:val="19"/>
          <w:szCs w:val="19"/>
          <w:color w:val="0000FF"/>
        </w:rPr>
        <w:t xml:space="preserve"> </w:t>
      </w:r>
      <w:r>
        <w:rPr>
          <w:rFonts w:ascii="Arial" w:cs="Arial" w:eastAsia="Arial" w:hAnsi="Arial"/>
          <w:sz w:val="19"/>
          <w:szCs w:val="19"/>
          <w:color w:val="000000"/>
        </w:rPr>
        <w:t xml:space="preserve">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and good faith discretion </w:t>
      </w:r>
      <w:r>
        <w:rPr>
          <w:rFonts w:ascii="Arial" w:cs="Arial" w:eastAsia="Arial" w:hAnsi="Arial"/>
          <w:sz w:val="19"/>
          <w:szCs w:val="19"/>
          <w:u w:val="single" w:color="auto"/>
          <w:color w:val="0000FF"/>
        </w:rPr>
        <w:t>(and in consultation with the Borrower)</w:t>
      </w:r>
      <w:r>
        <w:rPr>
          <w:rFonts w:ascii="Arial" w:cs="Arial" w:eastAsia="Arial" w:hAnsi="Arial"/>
          <w:sz w:val="19"/>
          <w:szCs w:val="19"/>
          <w:color w:val="000000"/>
        </w:rPr>
        <w:t xml:space="preserve"> may be appropriate to reflect the adoption and implementation of such Benchmark Replacement and to permit the administration thereof by the Administrative Agent in a manner substantially consistent with market practice (or, if the Administrative Agent decides in its reasonable good faith discretion </w:t>
      </w:r>
      <w:r>
        <w:rPr>
          <w:rFonts w:ascii="Arial" w:cs="Arial" w:eastAsia="Arial" w:hAnsi="Arial"/>
          <w:sz w:val="19"/>
          <w:szCs w:val="19"/>
          <w:u w:val="single" w:color="auto"/>
          <w:color w:val="0000FF"/>
        </w:rPr>
        <w:t>(and in consultation with the Borrower)</w:t>
      </w:r>
      <w:r>
        <w:rPr>
          <w:rFonts w:ascii="Arial" w:cs="Arial" w:eastAsia="Arial" w:hAnsi="Arial"/>
          <w:sz w:val="19"/>
          <w:szCs w:val="19"/>
          <w:color w:val="000000"/>
        </w:rPr>
        <w:t xml:space="preserve"> that adoption of any portion of such market practice is not administratively feasible or if the Administrative Agent determines in its reasonable good faith discretion that no market practice for the administration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95" w:right="339" w:bottom="1440" w:gutter="0" w:footer="0" w:header="0"/>
        </w:sectPr>
      </w:pPr>
    </w:p>
    <w:bookmarkStart w:id="93" w:name="page94"/>
    <w:bookmarkEnd w:id="93"/>
    <w:p>
      <w:pPr>
        <w:spacing w:after="0" w:line="232" w:lineRule="auto"/>
        <w:rPr>
          <w:sz w:val="20"/>
          <w:szCs w:val="20"/>
          <w:color w:val="auto"/>
        </w:rPr>
      </w:pPr>
      <w:r>
        <w:rPr>
          <w:rFonts w:ascii="Arial" w:cs="Arial" w:eastAsia="Arial" w:hAnsi="Arial"/>
          <w:sz w:val="22"/>
          <w:szCs w:val="22"/>
          <w:color w:val="auto"/>
        </w:rPr>
        <w:t>Benchmark Replacement exists, in such other manner of administration as the Administrative Agent decides is reasonably necessary in connection with the administration of this Agreement and the other Loan Documents).</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Date</w:t>
      </w:r>
      <w:r>
        <w:rPr>
          <w:rFonts w:ascii="Arial" w:cs="Arial" w:eastAsia="Arial" w:hAnsi="Arial"/>
          <w:sz w:val="22"/>
          <w:szCs w:val="22"/>
          <w:color w:val="auto"/>
        </w:rPr>
        <w:t>” means, with respect to any Benchmark, the earliest to occur of the following events with respect to such then-current Benchmark:</w:t>
      </w:r>
    </w:p>
    <w:p>
      <w:pPr>
        <w:spacing w:after="0" w:line="159" w:lineRule="exact"/>
        <w:rPr>
          <w:sz w:val="20"/>
          <w:szCs w:val="20"/>
          <w:color w:val="auto"/>
        </w:rPr>
      </w:pPr>
    </w:p>
    <w:p>
      <w:pPr>
        <w:jc w:val="both"/>
        <w:ind w:left="660" w:firstLine="644"/>
        <w:spacing w:after="0" w:line="229" w:lineRule="auto"/>
        <w:tabs>
          <w:tab w:leader="none" w:pos="1803"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1"/>
          <w:szCs w:val="21"/>
          <w:color w:val="0000FF"/>
        </w:rPr>
        <w:t>or</w:t>
      </w:r>
    </w:p>
    <w:p>
      <w:pPr>
        <w:spacing w:after="0" w:line="158" w:lineRule="exact"/>
        <w:rPr>
          <w:rFonts w:ascii="Arial" w:cs="Arial" w:eastAsia="Arial" w:hAnsi="Arial"/>
          <w:sz w:val="21"/>
          <w:szCs w:val="21"/>
          <w:color w:val="auto"/>
        </w:rPr>
      </w:pPr>
    </w:p>
    <w:p>
      <w:pPr>
        <w:jc w:val="both"/>
        <w:ind w:left="660" w:firstLine="644"/>
        <w:spacing w:after="0" w:line="214" w:lineRule="auto"/>
        <w:tabs>
          <w:tab w:leader="none" w:pos="1871"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non-representativeness will be determined by reference to the most recent statement or publication referenced in such clause (c) and even if any Available Tenor of such Benchmark (or such component thereof) continues to be provided on such date</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58" w:lineRule="exact"/>
        <w:rPr>
          <w:rFonts w:ascii="Arial" w:cs="Arial" w:eastAsia="Arial" w:hAnsi="Arial"/>
          <w:sz w:val="22"/>
          <w:szCs w:val="22"/>
          <w:color w:val="auto"/>
        </w:rPr>
      </w:pPr>
    </w:p>
    <w:p>
      <w:pPr>
        <w:ind w:left="660" w:firstLine="644"/>
        <w:spacing w:after="0" w:line="232" w:lineRule="auto"/>
        <w:tabs>
          <w:tab w:leader="none" w:pos="1842" w:val="left"/>
        </w:tabs>
        <w:numPr>
          <w:ilvl w:val="0"/>
          <w:numId w:val="30"/>
        </w:numPr>
        <w:rPr>
          <w:rFonts w:ascii="Arial" w:cs="Arial" w:eastAsia="Arial" w:hAnsi="Arial"/>
          <w:sz w:val="22"/>
          <w:szCs w:val="22"/>
          <w:color w:val="FF0000"/>
          <w:strike w:val="1"/>
        </w:rPr>
      </w:pPr>
      <w:r>
        <w:rPr>
          <w:rFonts w:ascii="Arial" w:cs="Arial" w:eastAsia="Arial" w:hAnsi="Arial"/>
          <w:sz w:val="22"/>
          <w:szCs w:val="22"/>
          <w:color w:val="FF0000"/>
          <w:strike w:val="1"/>
        </w:rPr>
        <w:t xml:space="preserve">in the case of a Term SOFR Transition Event, the date that is thirty (30) days after the date a Term SOFR Notice is provided to the Lenders and the Borrower pursuant to </w:t>
      </w:r>
      <w:r>
        <w:rPr>
          <w:rFonts w:ascii="Arial" w:cs="Arial" w:eastAsia="Arial" w:hAnsi="Arial"/>
          <w:sz w:val="22"/>
          <w:szCs w:val="22"/>
          <w:u w:val="single" w:color="auto"/>
          <w:color w:val="FF0000"/>
          <w:strike w:val="1"/>
        </w:rPr>
        <w:t>Section 2.11(c)</w:t>
      </w:r>
      <w:r>
        <w:rPr>
          <w:rFonts w:ascii="Arial" w:cs="Arial" w:eastAsia="Arial" w:hAnsi="Arial"/>
          <w:sz w:val="22"/>
          <w:szCs w:val="22"/>
          <w:color w:val="FF0000"/>
          <w:strike w:val="1"/>
        </w:rPr>
        <w:t>; or</w:t>
      </w:r>
    </w:p>
    <w:p>
      <w:pPr>
        <w:spacing w:after="0" w:line="158" w:lineRule="exact"/>
        <w:rPr>
          <w:rFonts w:ascii="Arial" w:cs="Arial" w:eastAsia="Arial" w:hAnsi="Arial"/>
          <w:sz w:val="22"/>
          <w:szCs w:val="22"/>
          <w:color w:val="FF0000"/>
          <w:strike w:val="1"/>
        </w:rPr>
      </w:pPr>
    </w:p>
    <w:p>
      <w:pPr>
        <w:jc w:val="both"/>
        <w:ind w:left="660" w:firstLine="644"/>
        <w:spacing w:after="0" w:line="224" w:lineRule="auto"/>
        <w:tabs>
          <w:tab w:leader="none" w:pos="1828" w:val="left"/>
        </w:tabs>
        <w:numPr>
          <w:ilvl w:val="0"/>
          <w:numId w:val="30"/>
        </w:numPr>
        <w:rPr>
          <w:rFonts w:ascii="Arial" w:cs="Arial" w:eastAsia="Arial" w:hAnsi="Arial"/>
          <w:sz w:val="21"/>
          <w:szCs w:val="21"/>
          <w:color w:val="FF0000"/>
          <w:strike w:val="1"/>
        </w:rPr>
      </w:pPr>
      <w:r>
        <w:rPr>
          <w:rFonts w:ascii="Arial" w:cs="Arial" w:eastAsia="Arial" w:hAnsi="Arial"/>
          <w:sz w:val="21"/>
          <w:szCs w:val="21"/>
          <w:color w:val="FF0000"/>
          <w:strike w:val="1"/>
        </w:rPr>
        <w:t xml:space="preserve">in the case of an Early Opt-in Election or an Other Benchmark Rate Election, the sixth (6th) Business Day after the date notice of such Early Opt-in Election or Other Benchmark Rate Election, as applicable, is provided to the Lenders, so long as the Administrative Agent has not received, by 5:00 p.m. </w:t>
      </w:r>
      <w:r>
        <w:rPr>
          <w:rFonts w:ascii="Arial" w:cs="Arial" w:eastAsia="Arial" w:hAnsi="Arial"/>
          <w:sz w:val="21"/>
          <w:szCs w:val="21"/>
          <w:color w:val="008000"/>
          <w:strike w:val="1"/>
        </w:rPr>
        <w:t>(New York City time) on</w:t>
      </w:r>
      <w:r>
        <w:rPr>
          <w:rFonts w:ascii="Arial" w:cs="Arial" w:eastAsia="Arial" w:hAnsi="Arial"/>
          <w:sz w:val="21"/>
          <w:szCs w:val="21"/>
          <w:color w:val="FF0000"/>
          <w:strike w:val="1"/>
        </w:rPr>
        <w:t xml:space="preserve"> the fifth (5th)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-2361565</wp:posOffset>
            </wp:positionV>
            <wp:extent cx="148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4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159" w:lineRule="exact"/>
        <w:rPr>
          <w:sz w:val="20"/>
          <w:szCs w:val="20"/>
          <w:color w:val="auto"/>
        </w:rPr>
      </w:pPr>
    </w:p>
    <w:p>
      <w:pPr>
        <w:jc w:val="both"/>
        <w:ind w:left="660" w:firstLine="644"/>
        <w:spacing w:after="0" w:line="226" w:lineRule="auto"/>
        <w:tabs>
          <w:tab w:leader="none" w:pos="1614"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94" w:name="page95"/>
    <w:bookmarkEnd w:id="94"/>
    <w:p>
      <w:pPr>
        <w:jc w:val="both"/>
        <w:ind w:left="660" w:firstLine="644"/>
        <w:spacing w:after="0" w:line="210" w:lineRule="auto"/>
        <w:tabs>
          <w:tab w:leader="none" w:pos="1645"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the regulatory supervisor for the administrator of such Benchmark (or the published component used in the calculation thereof), the Federal Reserve Board, the NYFRB,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62" w:lineRule="exact"/>
        <w:rPr>
          <w:rFonts w:ascii="Arial" w:cs="Arial" w:eastAsia="Arial" w:hAnsi="Arial"/>
          <w:sz w:val="22"/>
          <w:szCs w:val="22"/>
          <w:color w:val="auto"/>
        </w:rPr>
      </w:pPr>
    </w:p>
    <w:p>
      <w:pPr>
        <w:jc w:val="both"/>
        <w:ind w:left="660" w:firstLine="644"/>
        <w:spacing w:after="0" w:line="268" w:lineRule="auto"/>
        <w:tabs>
          <w:tab w:leader="none" w:pos="164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spacing w:after="0" w:line="237" w:lineRule="auto"/>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2"/>
          <w:szCs w:val="22"/>
          <w:color w:val="auto"/>
        </w:rPr>
        <w:t>Available Tenor of such Benchmark (or the published component used in the calculation thereof).</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Unavailability Period</w:t>
      </w:r>
      <w:r>
        <w:rPr>
          <w:rFonts w:ascii="Arial" w:cs="Arial" w:eastAsia="Arial" w:hAnsi="Arial"/>
          <w:sz w:val="19"/>
          <w:szCs w:val="19"/>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19"/>
          <w:szCs w:val="19"/>
          <w:u w:val="single" w:color="auto"/>
          <w:color w:val="auto"/>
        </w:rPr>
        <w:t>Section 2.11(b)</w:t>
      </w:r>
      <w:r>
        <w:rPr>
          <w:rFonts w:ascii="Arial" w:cs="Arial" w:eastAsia="Arial" w:hAnsi="Arial"/>
          <w:sz w:val="19"/>
          <w:szCs w:val="19"/>
          <w:color w:val="auto"/>
        </w:rPr>
        <w:t>.</w:t>
      </w:r>
    </w:p>
    <w:p>
      <w:pPr>
        <w:spacing w:after="0" w:line="1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 means 31 C.F.R. § 1010.230.</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Governors of the Federal Reserve System of the United States of America.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means Fluence Energy, LLC, a Delaware limited liability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Competitor</w:t>
      </w:r>
      <w:r>
        <w:rPr>
          <w:rFonts w:ascii="Arial" w:cs="Arial" w:eastAsia="Arial" w:hAnsi="Arial"/>
          <w:sz w:val="22"/>
          <w:szCs w:val="22"/>
          <w:color w:val="auto"/>
        </w:rPr>
        <w:t>” means any competitor of the Borrower and/or any of its Subsidiaries.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w:t>
      </w:r>
      <w:r>
        <w:rPr>
          <w:rFonts w:ascii="Arial" w:cs="Arial" w:eastAsia="Arial" w:hAnsi="Arial"/>
          <w:sz w:val="22"/>
          <w:szCs w:val="22"/>
          <w:color w:val="auto"/>
        </w:rPr>
        <w:t>” means Loans of the same Type and Agreed Currency, made, converted or continued on the same date and, in the case of Term Benchmark Loans,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Request</w:t>
      </w:r>
      <w:r>
        <w:rPr>
          <w:rFonts w:ascii="Arial" w:cs="Arial" w:eastAsia="Arial" w:hAnsi="Arial"/>
          <w:sz w:val="22"/>
          <w:szCs w:val="22"/>
          <w:color w:val="auto"/>
        </w:rPr>
        <w:t xml:space="preserve">” means a request by the Borrower for a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when used in connection with a Term Benchmark Loan, the term “</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shall also exclude any day on which banks are not open for dealings in Dollar deposits in the London interbank market, (b) when used in connection with Loans denominated in Euros and in relation to the calculation or computation of EURIBOR, any day which is a TARGET Day, (c) in relation to Loans denominated in Australian Dollars and in relation to the calculation or computation of BBSY or BBSW, any day (other than a Saturday or a Sunday) on which banks are open for business in Sydney, Australia </w:t>
      </w:r>
      <w:r>
        <w:rPr>
          <w:rFonts w:ascii="Arial" w:cs="Arial" w:eastAsia="Arial" w:hAnsi="Arial"/>
          <w:sz w:val="19"/>
          <w:szCs w:val="19"/>
          <w:color w:val="FF0000"/>
        </w:rPr>
        <w:t>and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(d) in relation to RFR Loans and any interest rate settings, fundings, disbursements, settlements or payments of any such RFR Loan, or any other dealings in the applicable Agreed Currency of such RFR Loan, any such day that is only an RFR Business Day</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 (e) in relation to Loans referencing the Adjusted Term SOFR Rate and any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-626745</wp:posOffset>
            </wp:positionV>
            <wp:extent cx="2698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69875" cy="8255"/>
                    </a:xfrm>
                    <a:prstGeom prst="rect">
                      <a:avLst/>
                    </a:prstGeom>
                    <a:noFill/>
                  </pic:spPr>
                </pic:pic>
              </a:graphicData>
            </a:graphic>
          </wp:anchor>
        </w:drawing>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Impairment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9.09(a)(iii)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Lease Obligations</w:t>
      </w:r>
      <w:r>
        <w:rPr>
          <w:rFonts w:ascii="Arial" w:cs="Arial" w:eastAsia="Arial" w:hAnsi="Arial"/>
          <w:sz w:val="21"/>
          <w:szCs w:val="21"/>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any obligations relating to a lease that was accounted for by such Person as an operating lease as of the Effective Date and any similar lease entered into after the Effective Date by such Person shall be accounted for as obligations relating to an operating lease and not as Capital Lease Obligations.</w:t>
      </w:r>
    </w:p>
    <w:p>
      <w:pPr>
        <w:spacing w:after="0" w:line="15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Captive Insurance Company</w:t>
      </w:r>
      <w:r>
        <w:rPr>
          <w:rFonts w:ascii="Arial" w:cs="Arial" w:eastAsia="Arial" w:hAnsi="Arial"/>
          <w:sz w:val="22"/>
          <w:szCs w:val="22"/>
          <w:color w:val="auto"/>
        </w:rPr>
        <w:t>” means each Subsidiary of the Borrower formed from time to time that engages primarily in the business of insuring risks of the Borrower and its Subsidiaries.</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Collateralize</w:t>
      </w:r>
      <w:r>
        <w:rPr>
          <w:rFonts w:ascii="Arial" w:cs="Arial" w:eastAsia="Arial" w:hAnsi="Arial"/>
          <w:sz w:val="22"/>
          <w:szCs w:val="22"/>
          <w:color w:val="auto"/>
        </w:rPr>
        <w:t>” means, in respect of an Obligation, to provide and pledge (as a first priority perfected security interest) cash collateral in Dollars, at a location and pursuant to documentation in form and substance reasonably satisfactory to the Administrative Agent and the applicable Issuing Bank (and “</w:t>
      </w:r>
      <w:r>
        <w:rPr>
          <w:rFonts w:ascii="Arial" w:cs="Arial" w:eastAsia="Arial" w:hAnsi="Arial"/>
          <w:sz w:val="22"/>
          <w:szCs w:val="22"/>
          <w:b w:val="1"/>
          <w:bCs w:val="1"/>
          <w:color w:val="auto"/>
        </w:rPr>
        <w:t>Cash Collateralization</w:t>
      </w:r>
      <w:r>
        <w:rPr>
          <w:rFonts w:ascii="Arial" w:cs="Arial" w:eastAsia="Arial" w:hAnsi="Arial"/>
          <w:sz w:val="22"/>
          <w:szCs w:val="22"/>
          <w:color w:val="auto"/>
        </w:rPr>
        <w:t xml:space="preserve">” has a corresponding meaning). “ </w:t>
      </w:r>
      <w:r>
        <w:rPr>
          <w:rFonts w:ascii="Arial" w:cs="Arial" w:eastAsia="Arial" w:hAnsi="Arial"/>
          <w:sz w:val="22"/>
          <w:szCs w:val="22"/>
          <w:b w:val="1"/>
          <w:bCs w:val="1"/>
          <w:color w:val="auto"/>
        </w:rPr>
        <w:t>Cash</w:t>
      </w:r>
      <w:r>
        <w:rPr>
          <w:rFonts w:ascii="Arial" w:cs="Arial" w:eastAsia="Arial" w:hAnsi="Arial"/>
          <w:sz w:val="22"/>
          <w:szCs w:val="22"/>
          <w:color w:val="auto"/>
        </w:rPr>
        <w:t xml:space="preserve"> </w:t>
      </w:r>
      <w:r>
        <w:rPr>
          <w:rFonts w:ascii="Arial" w:cs="Arial" w:eastAsia="Arial" w:hAnsi="Arial"/>
          <w:sz w:val="22"/>
          <w:szCs w:val="22"/>
          <w:b w:val="1"/>
          <w:bCs w:val="1"/>
          <w:color w:val="auto"/>
        </w:rPr>
        <w:t>Collateral</w:t>
      </w:r>
      <w:r>
        <w:rPr>
          <w:rFonts w:ascii="Arial" w:cs="Arial" w:eastAsia="Arial" w:hAnsi="Arial"/>
          <w:sz w:val="22"/>
          <w:szCs w:val="22"/>
          <w:color w:val="auto"/>
        </w:rPr>
        <w:t>” shall have a meaning correlative to the foregoing and shall include the proceeds of such cash collateral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credit support.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Equivalents</w:t>
      </w:r>
      <w:r>
        <w:rPr>
          <w:rFonts w:ascii="Arial" w:cs="Arial" w:eastAsia="Arial" w:hAnsi="Arial"/>
          <w:sz w:val="22"/>
          <w:szCs w:val="22"/>
          <w:color w:val="auto"/>
        </w:rPr>
        <w:t>” means:</w:t>
      </w:r>
    </w:p>
    <w:p>
      <w:pPr>
        <w:spacing w:after="0" w:line="185" w:lineRule="exact"/>
        <w:rPr>
          <w:sz w:val="20"/>
          <w:szCs w:val="20"/>
          <w:color w:val="auto"/>
        </w:rPr>
      </w:pPr>
    </w:p>
    <w:p>
      <w:pPr>
        <w:jc w:val="both"/>
        <w:ind w:firstLine="656"/>
        <w:spacing w:after="0" w:line="223" w:lineRule="auto"/>
        <w:tabs>
          <w:tab w:leader="none" w:pos="1163" w:val="left"/>
        </w:tabs>
        <w:numPr>
          <w:ilvl w:val="0"/>
          <w:numId w:val="33"/>
        </w:numPr>
        <w:rPr>
          <w:rFonts w:ascii="Arial" w:cs="Arial" w:eastAsia="Arial" w:hAnsi="Arial"/>
          <w:sz w:val="20"/>
          <w:szCs w:val="20"/>
          <w:color w:val="auto"/>
        </w:rPr>
      </w:pPr>
      <w:r>
        <w:rPr>
          <w:rFonts w:ascii="Arial" w:cs="Arial" w:eastAsia="Arial" w:hAnsi="Arial"/>
          <w:sz w:val="22"/>
          <w:szCs w:val="22"/>
          <w:color w:val="auto"/>
        </w:rPr>
        <w:t>direct obligations of, or obligations the principal of and interest on which are unconditionally guaranteed by, the United States of America (or by any agency thereof or issued by FNMA, FHLMC or FFCB), in each case maturing within one year from the date of acquisition thereof;</w:t>
      </w:r>
    </w:p>
    <w:p>
      <w:pPr>
        <w:spacing w:after="0" w:line="158" w:lineRule="exact"/>
        <w:rPr>
          <w:rFonts w:ascii="Arial" w:cs="Arial" w:eastAsia="Arial" w:hAnsi="Arial"/>
          <w:sz w:val="20"/>
          <w:szCs w:val="20"/>
          <w:color w:val="auto"/>
        </w:rPr>
      </w:pPr>
    </w:p>
    <w:p>
      <w:pPr>
        <w:jc w:val="both"/>
        <w:ind w:firstLine="656"/>
        <w:spacing w:after="0" w:line="234" w:lineRule="auto"/>
        <w:tabs>
          <w:tab w:leader="none" w:pos="1106" w:val="left"/>
        </w:tabs>
        <w:numPr>
          <w:ilvl w:val="0"/>
          <w:numId w:val="33"/>
        </w:numPr>
        <w:rPr>
          <w:rFonts w:ascii="Arial" w:cs="Arial" w:eastAsia="Arial" w:hAnsi="Arial"/>
          <w:sz w:val="19"/>
          <w:szCs w:val="19"/>
          <w:color w:val="auto"/>
        </w:rPr>
      </w:pPr>
      <w:r>
        <w:rPr>
          <w:rFonts w:ascii="Arial" w:cs="Arial" w:eastAsia="Arial" w:hAnsi="Arial"/>
          <w:sz w:val="21"/>
          <w:szCs w:val="21"/>
          <w:color w:val="auto"/>
        </w:rPr>
        <w:t>investments in commercial paper maturing within one (1) year from the date of acquisition thereof and (i) issued by any Lender or bank holding company owning any Lender or (ii) rated at least “A-2” or the equivalent thereof by S&amp;P or at least “P-2” or the equivalent thereof by Moody’s, respectively (in each case,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95" w:right="339" w:bottom="1440" w:gutter="0" w:footer="0" w:header="0"/>
        </w:sectPr>
      </w:pPr>
    </w:p>
    <w:bookmarkStart w:id="96" w:name="page97"/>
    <w:bookmarkEnd w:id="96"/>
    <w:p>
      <w:pPr>
        <w:jc w:val="both"/>
        <w:ind w:firstLine="656"/>
        <w:spacing w:after="0" w:line="214" w:lineRule="auto"/>
        <w:tabs>
          <w:tab w:leader="none" w:pos="1164" w:val="left"/>
        </w:tabs>
        <w:numPr>
          <w:ilvl w:val="0"/>
          <w:numId w:val="34"/>
        </w:numPr>
        <w:rPr>
          <w:rFonts w:ascii="Arial" w:cs="Arial" w:eastAsia="Arial" w:hAnsi="Arial"/>
          <w:sz w:val="20"/>
          <w:szCs w:val="20"/>
          <w:color w:val="auto"/>
        </w:rPr>
      </w:pPr>
      <w:r>
        <w:rPr>
          <w:rFonts w:ascii="Arial" w:cs="Arial" w:eastAsia="Arial" w:hAnsi="Arial"/>
          <w:sz w:val="22"/>
          <w:szCs w:val="22"/>
          <w:color w:val="auto"/>
        </w:rPr>
        <w:t>investments in certificates of deposit, floating rate certificates of deposit, bankers’ acceptances and time deposits (including eurodollar deposits) maturing within one (1) year from the date of acquisition thereof issued or guaranteed by or placed with, and money market deposit accounts issued or offered by (i) any domestic office of any commercial bank organized under the laws of the United States of America or any State thereof which has a combined capital and surplus and undivided profits of not less than $100 million; or (ii) any Lender or bank holding company owning any Lender (in each case, at the time of acquisition);</w:t>
      </w:r>
    </w:p>
    <w:p>
      <w:pPr>
        <w:spacing w:after="0" w:line="158" w:lineRule="exact"/>
        <w:rPr>
          <w:rFonts w:ascii="Arial" w:cs="Arial" w:eastAsia="Arial" w:hAnsi="Arial"/>
          <w:sz w:val="20"/>
          <w:szCs w:val="20"/>
          <w:color w:val="auto"/>
        </w:rPr>
      </w:pPr>
    </w:p>
    <w:p>
      <w:pPr>
        <w:ind w:firstLine="656"/>
        <w:spacing w:after="0" w:line="232" w:lineRule="auto"/>
        <w:tabs>
          <w:tab w:leader="none" w:pos="1093" w:val="left"/>
        </w:tabs>
        <w:numPr>
          <w:ilvl w:val="0"/>
          <w:numId w:val="34"/>
        </w:numPr>
        <w:rPr>
          <w:rFonts w:ascii="Arial" w:cs="Arial" w:eastAsia="Arial" w:hAnsi="Arial"/>
          <w:sz w:val="20"/>
          <w:szCs w:val="20"/>
          <w:color w:val="auto"/>
        </w:rPr>
      </w:pPr>
      <w:r>
        <w:rPr>
          <w:rFonts w:ascii="Arial" w:cs="Arial" w:eastAsia="Arial" w:hAnsi="Arial"/>
          <w:sz w:val="22"/>
          <w:szCs w:val="22"/>
          <w:color w:val="auto"/>
        </w:rPr>
        <w:t xml:space="preserve">fully collateralized repurchase agreements with a term of not more than 30 days for securities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and entered into with a financial institution satisfying the criteria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above;</w:t>
      </w:r>
    </w:p>
    <w:p>
      <w:pPr>
        <w:spacing w:after="0" w:line="158" w:lineRule="exact"/>
        <w:rPr>
          <w:rFonts w:ascii="Arial" w:cs="Arial" w:eastAsia="Arial" w:hAnsi="Arial"/>
          <w:sz w:val="20"/>
          <w:szCs w:val="20"/>
          <w:color w:val="auto"/>
        </w:rPr>
      </w:pPr>
    </w:p>
    <w:p>
      <w:pPr>
        <w:ind w:firstLine="656"/>
        <w:spacing w:after="0" w:line="247" w:lineRule="auto"/>
        <w:tabs>
          <w:tab w:leader="none" w:pos="1095" w:val="left"/>
        </w:tabs>
        <w:numPr>
          <w:ilvl w:val="0"/>
          <w:numId w:val="34"/>
        </w:numPr>
        <w:rPr>
          <w:rFonts w:ascii="Arial" w:cs="Arial" w:eastAsia="Arial" w:hAnsi="Arial"/>
          <w:sz w:val="19"/>
          <w:szCs w:val="19"/>
          <w:color w:val="auto"/>
        </w:rPr>
      </w:pPr>
      <w:r>
        <w:rPr>
          <w:rFonts w:ascii="Arial" w:cs="Arial" w:eastAsia="Arial" w:hAnsi="Arial"/>
          <w:sz w:val="21"/>
          <w:szCs w:val="21"/>
          <w:color w:val="auto"/>
        </w:rPr>
        <w:t>money market funds that (i) comply with the criteria set forth in SEC Rule 2a-7 under the Investment Company Act of 1940, (ii) are rated AAA by S&amp;P and Aaa by Moody’s and (iii) have portfolio assets of at least $5 billion;</w:t>
      </w:r>
    </w:p>
    <w:p>
      <w:pPr>
        <w:spacing w:after="0" w:line="150" w:lineRule="exact"/>
        <w:rPr>
          <w:rFonts w:ascii="Arial" w:cs="Arial" w:eastAsia="Arial" w:hAnsi="Arial"/>
          <w:sz w:val="19"/>
          <w:szCs w:val="19"/>
          <w:color w:val="auto"/>
        </w:rPr>
      </w:pPr>
    </w:p>
    <w:p>
      <w:pPr>
        <w:jc w:val="both"/>
        <w:ind w:firstLine="656"/>
        <w:spacing w:after="0" w:line="234" w:lineRule="auto"/>
        <w:tabs>
          <w:tab w:leader="none" w:pos="1132" w:val="left"/>
        </w:tabs>
        <w:numPr>
          <w:ilvl w:val="0"/>
          <w:numId w:val="34"/>
        </w:numPr>
        <w:rPr>
          <w:rFonts w:ascii="Arial" w:cs="Arial" w:eastAsia="Arial" w:hAnsi="Arial"/>
          <w:sz w:val="19"/>
          <w:szCs w:val="19"/>
          <w:color w:val="auto"/>
        </w:rPr>
      </w:pPr>
      <w:r>
        <w:rPr>
          <w:rFonts w:ascii="Arial" w:cs="Arial" w:eastAsia="Arial" w:hAnsi="Arial"/>
          <w:sz w:val="21"/>
          <w:szCs w:val="21"/>
          <w:color w:val="auto"/>
        </w:rPr>
        <w:t>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w:t>
      </w:r>
    </w:p>
    <w:p>
      <w:pPr>
        <w:spacing w:after="0" w:line="157" w:lineRule="exact"/>
        <w:rPr>
          <w:rFonts w:ascii="Arial" w:cs="Arial" w:eastAsia="Arial" w:hAnsi="Arial"/>
          <w:sz w:val="19"/>
          <w:szCs w:val="19"/>
          <w:color w:val="auto"/>
        </w:rPr>
      </w:pPr>
    </w:p>
    <w:p>
      <w:pPr>
        <w:ind w:firstLine="656"/>
        <w:spacing w:after="0" w:line="298" w:lineRule="auto"/>
        <w:tabs>
          <w:tab w:leader="none" w:pos="1091" w:val="left"/>
        </w:tabs>
        <w:numPr>
          <w:ilvl w:val="0"/>
          <w:numId w:val="34"/>
        </w:numPr>
        <w:rPr>
          <w:rFonts w:ascii="Arial" w:cs="Arial" w:eastAsia="Arial" w:hAnsi="Arial"/>
          <w:sz w:val="18"/>
          <w:szCs w:val="18"/>
          <w:color w:val="auto"/>
        </w:rPr>
      </w:pPr>
      <w:r>
        <w:rPr>
          <w:rFonts w:ascii="Arial" w:cs="Arial" w:eastAsia="Arial" w:hAnsi="Arial"/>
          <w:sz w:val="19"/>
          <w:szCs w:val="19"/>
          <w:color w:val="auto"/>
        </w:rPr>
        <w:t>securities with maturities of six months or less from the date of acquisition backed by standby letters of credit issued by any Lender or any commercial bank satisfying the requirements of clause (c) above (in each case, at the time of acquisition);</w:t>
      </w:r>
    </w:p>
    <w:p>
      <w:pPr>
        <w:spacing w:after="0" w:line="105" w:lineRule="exact"/>
        <w:rPr>
          <w:rFonts w:ascii="Arial" w:cs="Arial" w:eastAsia="Arial" w:hAnsi="Arial"/>
          <w:sz w:val="18"/>
          <w:szCs w:val="18"/>
          <w:color w:val="auto"/>
        </w:rPr>
      </w:pPr>
    </w:p>
    <w:p>
      <w:pPr>
        <w:ind w:firstLine="656"/>
        <w:spacing w:after="0" w:line="232" w:lineRule="auto"/>
        <w:tabs>
          <w:tab w:leader="none" w:pos="1102" w:val="left"/>
        </w:tabs>
        <w:numPr>
          <w:ilvl w:val="0"/>
          <w:numId w:val="34"/>
        </w:numPr>
        <w:rPr>
          <w:rFonts w:ascii="Arial" w:cs="Arial" w:eastAsia="Arial" w:hAnsi="Arial"/>
          <w:sz w:val="20"/>
          <w:szCs w:val="20"/>
          <w:color w:val="auto"/>
        </w:rPr>
      </w:pPr>
      <w:r>
        <w:rPr>
          <w:rFonts w:ascii="Arial" w:cs="Arial" w:eastAsia="Arial" w:hAnsi="Arial"/>
          <w:sz w:val="22"/>
          <w:szCs w:val="22"/>
          <w:color w:val="auto"/>
        </w:rPr>
        <w:t>corporate notes issued by domestic corporations that are rated at least “A” by S&amp;P or “A” by Moody’s, in each case maturing within one year from the date of acquisition;</w:t>
      </w:r>
    </w:p>
    <w:p>
      <w:pPr>
        <w:spacing w:after="0" w:line="158" w:lineRule="exact"/>
        <w:rPr>
          <w:rFonts w:ascii="Arial" w:cs="Arial" w:eastAsia="Arial" w:hAnsi="Arial"/>
          <w:sz w:val="20"/>
          <w:szCs w:val="20"/>
          <w:color w:val="auto"/>
        </w:rPr>
      </w:pPr>
    </w:p>
    <w:p>
      <w:pPr>
        <w:ind w:firstLine="656"/>
        <w:spacing w:after="0" w:line="232" w:lineRule="auto"/>
        <w:tabs>
          <w:tab w:leader="none" w:pos="1036" w:val="left"/>
        </w:tabs>
        <w:numPr>
          <w:ilvl w:val="0"/>
          <w:numId w:val="34"/>
        </w:numPr>
        <w:rPr>
          <w:rFonts w:ascii="Arial" w:cs="Arial" w:eastAsia="Arial" w:hAnsi="Arial"/>
          <w:sz w:val="20"/>
          <w:szCs w:val="20"/>
          <w:color w:val="auto"/>
        </w:rPr>
      </w:pPr>
      <w:r>
        <w:rPr>
          <w:rFonts w:ascii="Arial" w:cs="Arial" w:eastAsia="Arial" w:hAnsi="Arial"/>
          <w:sz w:val="22"/>
          <w:szCs w:val="22"/>
          <w:color w:val="auto"/>
        </w:rPr>
        <w:t>auction rate securities including taxable municipals, taxable auction notes, and money market preferred; provided that the credit quality is consistent with clause (g) of this definition;</w:t>
      </w:r>
    </w:p>
    <w:p>
      <w:pPr>
        <w:spacing w:after="0" w:line="158" w:lineRule="exact"/>
        <w:rPr>
          <w:rFonts w:ascii="Arial" w:cs="Arial" w:eastAsia="Arial" w:hAnsi="Arial"/>
          <w:sz w:val="20"/>
          <w:szCs w:val="20"/>
          <w:color w:val="auto"/>
        </w:rPr>
      </w:pPr>
    </w:p>
    <w:p>
      <w:pPr>
        <w:jc w:val="both"/>
        <w:ind w:firstLine="656"/>
        <w:spacing w:after="0" w:line="223" w:lineRule="auto"/>
        <w:tabs>
          <w:tab w:leader="none" w:pos="1049" w:val="left"/>
        </w:tabs>
        <w:numPr>
          <w:ilvl w:val="0"/>
          <w:numId w:val="34"/>
        </w:numPr>
        <w:rPr>
          <w:rFonts w:ascii="Arial" w:cs="Arial" w:eastAsia="Arial" w:hAnsi="Arial"/>
          <w:sz w:val="20"/>
          <w:szCs w:val="20"/>
          <w:color w:val="auto"/>
        </w:rPr>
      </w:pPr>
      <w:r>
        <w:rPr>
          <w:rFonts w:ascii="Arial" w:cs="Arial" w:eastAsia="Arial" w:hAnsi="Arial"/>
          <w:sz w:val="22"/>
          <w:szCs w:val="22"/>
          <w:color w:val="auto"/>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w:t>
      </w:r>
    </w:p>
    <w:p>
      <w:pPr>
        <w:spacing w:after="0" w:line="158" w:lineRule="exact"/>
        <w:rPr>
          <w:rFonts w:ascii="Arial" w:cs="Arial" w:eastAsia="Arial" w:hAnsi="Arial"/>
          <w:sz w:val="20"/>
          <w:szCs w:val="20"/>
          <w:color w:val="auto"/>
        </w:rPr>
      </w:pPr>
    </w:p>
    <w:p>
      <w:pPr>
        <w:jc w:val="both"/>
        <w:ind w:firstLine="656"/>
        <w:spacing w:after="0" w:line="223" w:lineRule="auto"/>
        <w:tabs>
          <w:tab w:leader="none" w:pos="1215" w:val="left"/>
        </w:tabs>
        <w:numPr>
          <w:ilvl w:val="0"/>
          <w:numId w:val="34"/>
        </w:numPr>
        <w:rPr>
          <w:rFonts w:ascii="Arial" w:cs="Arial" w:eastAsia="Arial" w:hAnsi="Arial"/>
          <w:sz w:val="20"/>
          <w:szCs w:val="20"/>
          <w:color w:val="auto"/>
        </w:rPr>
      </w:pPr>
      <w:r>
        <w:rPr>
          <w:rFonts w:ascii="Arial" w:cs="Arial" w:eastAsia="Arial" w:hAnsi="Arial"/>
          <w:sz w:val="22"/>
          <w:szCs w:val="22"/>
          <w:color w:val="auto"/>
        </w:rPr>
        <w:t>short term investments similar to the foregoing made by foreign Subsidiaries of the Parent consistent with the Parent’s or the Borrower’s, as applicable, investment guidelines or as approved from time to time by the Parent’s or the Borrower’s, as applicable, board of directors or governing body;</w:t>
      </w:r>
    </w:p>
    <w:p>
      <w:pPr>
        <w:spacing w:after="0" w:line="158" w:lineRule="exact"/>
        <w:rPr>
          <w:rFonts w:ascii="Arial" w:cs="Arial" w:eastAsia="Arial" w:hAnsi="Arial"/>
          <w:sz w:val="20"/>
          <w:szCs w:val="20"/>
          <w:color w:val="auto"/>
        </w:rPr>
      </w:pPr>
    </w:p>
    <w:p>
      <w:pPr>
        <w:ind w:firstLine="656"/>
        <w:spacing w:after="0" w:line="232" w:lineRule="auto"/>
        <w:tabs>
          <w:tab w:leader="none" w:pos="1084" w:val="left"/>
        </w:tabs>
        <w:numPr>
          <w:ilvl w:val="0"/>
          <w:numId w:val="34"/>
        </w:numPr>
        <w:rPr>
          <w:rFonts w:ascii="Arial" w:cs="Arial" w:eastAsia="Arial" w:hAnsi="Arial"/>
          <w:sz w:val="20"/>
          <w:szCs w:val="20"/>
          <w:color w:val="auto"/>
        </w:rPr>
      </w:pPr>
      <w:r>
        <w:rPr>
          <w:rFonts w:ascii="Arial" w:cs="Arial" w:eastAsia="Arial" w:hAnsi="Arial"/>
          <w:sz w:val="22"/>
          <w:szCs w:val="22"/>
          <w:color w:val="auto"/>
        </w:rPr>
        <w:t>money market mutual funds that invest primarily in the foregoing items (determined at the time such investment in such fund is made); and</w:t>
      </w:r>
    </w:p>
    <w:p>
      <w:pPr>
        <w:spacing w:after="0" w:line="158" w:lineRule="exact"/>
        <w:rPr>
          <w:rFonts w:ascii="Arial" w:cs="Arial" w:eastAsia="Arial" w:hAnsi="Arial"/>
          <w:sz w:val="20"/>
          <w:szCs w:val="20"/>
          <w:color w:val="auto"/>
        </w:rPr>
      </w:pPr>
    </w:p>
    <w:p>
      <w:pPr>
        <w:ind w:left="1140" w:hanging="484"/>
        <w:spacing w:after="0"/>
        <w:tabs>
          <w:tab w:leader="none" w:pos="1140" w:val="left"/>
        </w:tabs>
        <w:numPr>
          <w:ilvl w:val="0"/>
          <w:numId w:val="34"/>
        </w:numPr>
        <w:rPr>
          <w:rFonts w:ascii="Arial" w:cs="Arial" w:eastAsia="Arial" w:hAnsi="Arial"/>
          <w:sz w:val="20"/>
          <w:szCs w:val="20"/>
          <w:color w:val="auto"/>
        </w:rPr>
      </w:pPr>
      <w:r>
        <w:rPr>
          <w:rFonts w:ascii="Arial" w:cs="Arial" w:eastAsia="Arial" w:hAnsi="Arial"/>
          <w:sz w:val="22"/>
          <w:szCs w:val="22"/>
          <w:color w:val="auto"/>
        </w:rPr>
        <w:t>such other comparable investments as may be approved by the Administrative Agent from time to time.</w:t>
      </w:r>
    </w:p>
    <w:p>
      <w:pPr>
        <w:spacing w:after="0" w:line="17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Central Bank Rate</w:t>
      </w:r>
      <w:r>
        <w:rPr>
          <w:rFonts w:ascii="Arial" w:cs="Arial" w:eastAsia="Arial" w:hAnsi="Arial"/>
          <w:sz w:val="22"/>
          <w:szCs w:val="22"/>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97" w:name="page98"/>
    <w:bookmarkEnd w:id="97"/>
    <w:p>
      <w:pPr>
        <w:jc w:val="both"/>
        <w:spacing w:after="0" w:line="249" w:lineRule="auto"/>
        <w:rPr>
          <w:sz w:val="20"/>
          <w:szCs w:val="20"/>
          <w:color w:val="auto"/>
        </w:rPr>
      </w:pPr>
      <w:r>
        <w:rPr>
          <w:rFonts w:ascii="Arial" w:cs="Arial" w:eastAsia="Arial" w:hAnsi="Arial"/>
          <w:sz w:val="19"/>
          <w:szCs w:val="19"/>
          <w:color w:val="auto"/>
        </w:rPr>
        <w:t>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a central bank rate as determined by the Administrative Agent in its reasonable discretion and (ii) 0%; plus (B) the applicable Central Bank Rate Adjustment.</w:t>
      </w:r>
    </w:p>
    <w:p>
      <w:pPr>
        <w:spacing w:after="0" w:line="146" w:lineRule="exact"/>
        <w:rPr>
          <w:sz w:val="20"/>
          <w:szCs w:val="20"/>
          <w:color w:val="auto"/>
        </w:rPr>
      </w:pPr>
    </w:p>
    <w:p>
      <w:pPr>
        <w:jc w:val="both"/>
        <w:ind w:firstLine="26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Central Bank Rate Adjustment</w:t>
      </w:r>
      <w:r>
        <w:rPr>
          <w:rFonts w:ascii="Arial" w:cs="Arial" w:eastAsia="Arial" w:hAnsi="Arial"/>
          <w:sz w:val="19"/>
          <w:szCs w:val="19"/>
          <w:color w:val="auto"/>
        </w:rPr>
        <w:t>” means, for any day, for any Loan denominated in (a) Euro,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and (c) any other Alternative Currency,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provided that if such rate shall be less than 0.00%, such rate shall be deemed to be 0.00%.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CFC</w:t>
      </w:r>
      <w:r>
        <w:rPr>
          <w:rFonts w:ascii="Arial" w:cs="Arial" w:eastAsia="Arial" w:hAnsi="Arial"/>
          <w:sz w:val="22"/>
          <w:szCs w:val="22"/>
          <w:color w:val="auto"/>
        </w:rPr>
        <w:t>” has the meaning assigned to it in the definition of “Excluded Subsidiary.”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CFC Holdco</w:t>
      </w:r>
      <w:r>
        <w:rPr>
          <w:rFonts w:ascii="Arial" w:cs="Arial" w:eastAsia="Arial" w:hAnsi="Arial"/>
          <w:sz w:val="22"/>
          <w:szCs w:val="22"/>
          <w:color w:val="auto"/>
        </w:rPr>
        <w:t>” has the meaning assigned to it in the definition of “Excluded Subsidiary.”</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Control</w:t>
      </w:r>
      <w:r>
        <w:rPr>
          <w:rFonts w:ascii="Arial" w:cs="Arial" w:eastAsia="Arial" w:hAnsi="Arial"/>
          <w:sz w:val="21"/>
          <w:szCs w:val="21"/>
          <w:color w:val="auto"/>
        </w:rPr>
        <w:t>” means (a) the acquisition of ownership, directly or indirectly, beneficially or of record, by any Person or group (within the meaning of the Securities Exchange Act and the rules of the SEC thereunder) (other than the Permitted Holders), of Equity Interests in each of the Parent and the Borrower (i) representing more than 40% of the aggregate ordinary voting power represented by the issued and outstanding Equity Interests in each of the Parent and the Borrower and (ii) representing more of the aggregate ordinary voting power represented by the issued and outstanding Equity Interests in each of the Parent and the Borrower than the aggregate ordinary voting power represented by the issued and outstanding Equity Interests in each of the Parent and the Borrower that are owned, directly or indirectly, beneficially or of record, by the Permitted Holders, or (b) the Parent or any successor thereto in accordance with Section 6.12(d) shall at any time cease to be the sole managing member of the Borrower.</w:t>
      </w:r>
    </w:p>
    <w:p>
      <w:pPr>
        <w:spacing w:after="0" w:line="15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Law</w:t>
      </w:r>
      <w:r>
        <w:rPr>
          <w:rFonts w:ascii="Arial" w:cs="Arial" w:eastAsia="Arial" w:hAnsi="Arial"/>
          <w:sz w:val="22"/>
          <w:szCs w:val="22"/>
          <w:color w:val="auto"/>
        </w:rPr>
        <w:t xml:space="preserve"> ”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98" w:name="page99"/>
    <w:bookmarkEnd w:id="98"/>
    <w:p>
      <w:pPr>
        <w:jc w:val="both"/>
        <w:spacing w:after="0" w:line="223" w:lineRule="auto"/>
        <w:rPr>
          <w:sz w:val="20"/>
          <w:szCs w:val="20"/>
          <w:color w:val="auto"/>
        </w:rPr>
      </w:pPr>
      <w:r>
        <w:rPr>
          <w:rFonts w:ascii="Arial" w:cs="Arial" w:eastAsia="Arial" w:hAnsi="Arial"/>
          <w:sz w:val="22"/>
          <w:szCs w:val="22"/>
          <w:color w:val="auto"/>
        </w:rPr>
        <w:t>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Citi Supplier Financing Agreement</w:t>
      </w:r>
      <w:r>
        <w:rPr>
          <w:rFonts w:ascii="Arial" w:cs="Arial" w:eastAsia="Arial" w:hAnsi="Arial"/>
          <w:sz w:val="22"/>
          <w:szCs w:val="22"/>
          <w:color w:val="auto"/>
        </w:rPr>
        <w:t xml:space="preserve"> ” means that certain Global Paying Services Agreement, dated as of July 22, 2021 between the Borrower and Citibank, N.A., as it may be amended, restated, supplemented, replaced or otherwise modified from time to time.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b w:val="1"/>
          <w:bCs w:val="1"/>
          <w:u w:val="single" w:color="auto"/>
          <w:color w:val="0000FF"/>
        </w:rPr>
        <w:t>CME Term SOFR Administrator</w:t>
      </w:r>
      <w:r>
        <w:rPr>
          <w:rFonts w:ascii="Arial" w:cs="Arial" w:eastAsia="Arial" w:hAnsi="Arial"/>
          <w:sz w:val="22"/>
          <w:szCs w:val="22"/>
          <w:u w:val="single" w:color="auto"/>
          <w:color w:val="0000FF"/>
        </w:rPr>
        <w:t>” means CME Group Benchmark Administration Limited as administrator of the forward-looking term Secured Overnight Financing Rate (SOFR) (or a successor administrator).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 as amended from time to time.</w:t>
      </w:r>
    </w:p>
    <w:p>
      <w:pPr>
        <w:spacing w:after="0" w:line="17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w:t>
      </w:r>
      <w:r>
        <w:rPr>
          <w:rFonts w:ascii="Arial" w:cs="Arial" w:eastAsia="Arial" w:hAnsi="Arial"/>
          <w:sz w:val="19"/>
          <w:szCs w:val="19"/>
          <w:color w:val="auto"/>
        </w:rPr>
        <w:t>” means all property and rights of the Loan Parties, now owned or hereafter acquired, upon which a Lien is purported to be created by any Security Document, provided that Collateral shall not include any Excluded Property.</w:t>
      </w:r>
    </w:p>
    <w:p>
      <w:pPr>
        <w:spacing w:after="0" w:line="9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 Letter of Credit</w:t>
      </w:r>
      <w:r>
        <w:rPr>
          <w:rFonts w:ascii="Arial" w:cs="Arial" w:eastAsia="Arial" w:hAnsi="Arial"/>
          <w:sz w:val="22"/>
          <w:szCs w:val="22"/>
          <w:color w:val="auto"/>
        </w:rPr>
        <w:t>” means any Letter of Credit issued for the purpose of providing the primary payment mechanism in connection with the purchase of any materials, goods or services by the Borrower or any of its subsidiaries in the ordinary course of business of such Person.</w:t>
      </w:r>
    </w:p>
    <w:p>
      <w:pPr>
        <w:spacing w:after="0" w:line="15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xml:space="preserve">”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reduced from time to time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w:t>
      </w:r>
      <w:r>
        <w:rPr>
          <w:rFonts w:ascii="Arial" w:cs="Arial" w:eastAsia="Arial" w:hAnsi="Arial"/>
          <w:sz w:val="22"/>
          <w:szCs w:val="22"/>
          <w:color w:val="auto"/>
        </w:rPr>
        <w:t xml:space="preserve"> and (b) reduced or increased from time to time pursuant to assignments by or to such Lender pursuant to </w:t>
      </w:r>
      <w:r>
        <w:rPr>
          <w:rFonts w:ascii="Arial" w:cs="Arial" w:eastAsia="Arial" w:hAnsi="Arial"/>
          <w:sz w:val="22"/>
          <w:szCs w:val="22"/>
          <w:u w:val="single" w:color="auto"/>
          <w:color w:val="auto"/>
        </w:rPr>
        <w:t>Section 10.04</w:t>
      </w:r>
      <w:r>
        <w:rPr>
          <w:rFonts w:ascii="Arial" w:cs="Arial" w:eastAsia="Arial" w:hAnsi="Arial"/>
          <w:sz w:val="22"/>
          <w:szCs w:val="22"/>
          <w:color w:val="auto"/>
        </w:rPr>
        <w:t xml:space="preserve">. The initial amount of each Lender’s Commitment as of the Effective Date is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opposite such Lender’s name under the caption “Commitment”. The initial aggregate amount of the Lenders’ Commitments as of the Effective Date is $190,000,000.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Communications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5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EBITDA</w:t>
      </w:r>
      <w:r>
        <w:rPr>
          <w:rFonts w:ascii="Arial" w:cs="Arial" w:eastAsia="Arial" w:hAnsi="Arial"/>
          <w:sz w:val="21"/>
          <w:szCs w:val="21"/>
          <w:color w:val="auto"/>
        </w:rPr>
        <w:t>” means, for the Parent and its Subsidiaries for any period, Consolidated Net Income for such period adjusted (i) to exclude (a) gains or losses from disposed, abandoned, transferred, closed or discontinued operations, (b) any gains or losses attributable to business dispositions or asset dispositions other than in the ordinary course of business (as reasonably determined by the Borrower acting in good faith), (c) any extraordinary or non-recurring gains or losses, (d) any non-cash gains, losses, charges or expenses, (e) the cumulative effect of changes in accounting principles, including any changes to Accounting Standards Codification 715 (or any subsequently adopted standards relating to pension and postretirement benefits) adopted by the Financial Accounting Standards Board after the date hereof, (f) Interest Expense, (g) consolidated tax expense or income, (h) all depreciation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99" w:name="page100"/>
    <w:bookmarkEnd w:id="99"/>
    <w:p>
      <w:pPr>
        <w:jc w:val="both"/>
        <w:spacing w:after="0" w:line="241" w:lineRule="auto"/>
        <w:rPr>
          <w:sz w:val="20"/>
          <w:szCs w:val="20"/>
          <w:color w:val="auto"/>
        </w:rPr>
      </w:pPr>
      <w:r>
        <w:rPr>
          <w:rFonts w:ascii="Arial" w:cs="Arial" w:eastAsia="Arial" w:hAnsi="Arial"/>
          <w:sz w:val="19"/>
          <w:szCs w:val="19"/>
          <w:color w:val="auto"/>
        </w:rPr>
        <w:t>amortization expense, including the depreciation of property, plant and equipment, the amortization of intangible assets, deferred financing fees and amortization of unrecognized prior service costs and actuarial gains and losses related to pensions and other post-employment benefits, (i) all other non-cash charges, including actuarial gains or losses from pension and postretirement plans, impairment charges and asset write-offs, non-cash expense realized or resulting from stock option plans, employee benefit plans or post-employment benefit plans, or grants or sales of stock, stock appreciation or similar rights, stock options, restricted stock or other Equity Interests, or non-cash compensation charges, (j) any costs and expenses related to employment of terminated employees or realized in connection with or resulting from stock appreciation or similar rights, stock options, restricted stock or other Equity Interests, (k) any gains or losses attributable to the early extinguishment of Indebtedness, Swap Agreements or other derivative instruments, (l) any currency translation gains and losses, and any realized or unrealized net loss or gain resulting from hedging transactions, (m) any expenses or charges related to any issuance of Equity Interests, Investment, acquisition, Disposition, recapitalization, Restricted Payment, or incurrence or repayment of Indebtedness permitted hereunder or any other Specified Transaction (in each case, whether or not consummated), (n) restructuring losses and expenses and (o) any payments by the Parent to the Permitted Holders under the Tax Receivable Agreement and (ii) to include proceeds received from business interruption insurance. For purposes of this definition, whenever Pro Forma Effect is to be given to any event, the Pro Forma Effect calculations shall be made in good faith by a Financial Officer of the Borrower.</w:t>
      </w:r>
    </w:p>
    <w:p>
      <w:pPr>
        <w:spacing w:after="0" w:line="15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Leverage Ratio</w:t>
      </w:r>
      <w:r>
        <w:rPr>
          <w:rFonts w:ascii="Arial" w:cs="Arial" w:eastAsia="Arial" w:hAnsi="Arial"/>
          <w:sz w:val="22"/>
          <w:szCs w:val="22"/>
          <w:color w:val="auto"/>
        </w:rPr>
        <w:t>” means, for any Measurement Period, the ratio of (a) Net Debt for Borrowed Money of the Parent (excluding Indebtedness attributable to the Parent Convertible Notes) and its Subsidiaries as of the end of such period to (b) Consolidated EBITDA of the Parent and its Subsidiaries for such period.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Net Income</w:t>
      </w:r>
      <w:r>
        <w:rPr>
          <w:rFonts w:ascii="Arial" w:cs="Arial" w:eastAsia="Arial" w:hAnsi="Arial"/>
          <w:sz w:val="22"/>
          <w:szCs w:val="22"/>
          <w:color w:val="auto"/>
        </w:rPr>
        <w:t>” means, for the Parent and its Subsidiaries for any period, the net income of the Parent and its Subsidiaries, determined on a consolidated basis for such period in accordance with GAAP.</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thereto.</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 Account Agreement</w:t>
      </w:r>
      <w:r>
        <w:rPr>
          <w:rFonts w:ascii="Arial" w:cs="Arial" w:eastAsia="Arial" w:hAnsi="Arial"/>
          <w:sz w:val="22"/>
          <w:szCs w:val="22"/>
          <w:color w:val="auto"/>
        </w:rPr>
        <w:t>” means any tri-party agreement by and among a U.S. Loan Party, the Administrative Agent and a depositary bank or securities intermediary at which such U.S. Loan Party maintains a Controlled Account, in each case in form and substance reasonably satisfactory to the Administrative Agent and which shall provide that, upon the occurrence and during the continuance of any Event of Default, the Administrative Agent can cause the applicable depositary bank or securities intermediary to honor the instructions of the Administrative Agent with respect to any such Controlled Account on terms set forth therein.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5.12</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Corresponding Debt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10.20(b)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means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00" w:name="page101"/>
    <w:bookmarkEnd w:id="100"/>
    <w:p>
      <w:pPr>
        <w:ind w:left="1680" w:hanging="376"/>
        <w:spacing w:after="0"/>
        <w:tabs>
          <w:tab w:leader="none" w:pos="1680" w:val="left"/>
        </w:tabs>
        <w:numPr>
          <w:ilvl w:val="0"/>
          <w:numId w:val="35"/>
        </w:numPr>
        <w:rPr>
          <w:rFonts w:ascii="Arial" w:cs="Arial" w:eastAsia="Arial" w:hAnsi="Arial"/>
          <w:sz w:val="19"/>
          <w:szCs w:val="19"/>
          <w:color w:val="auto"/>
        </w:rPr>
      </w:pPr>
      <w:r>
        <w:rPr>
          <w:rFonts w:ascii="Arial" w:cs="Arial" w:eastAsia="Arial" w:hAnsi="Arial"/>
          <w:sz w:val="21"/>
          <w:szCs w:val="21"/>
          <w:color w:val="auto"/>
        </w:rPr>
        <w:t>a “covered entity” as that term is defined in, and interpreted in accordance with, 12 C.F.R. § 252.82(b);</w:t>
      </w:r>
    </w:p>
    <w:p>
      <w:pPr>
        <w:spacing w:after="0" w:line="190" w:lineRule="exact"/>
        <w:rPr>
          <w:rFonts w:ascii="Arial" w:cs="Arial" w:eastAsia="Arial" w:hAnsi="Arial"/>
          <w:sz w:val="19"/>
          <w:szCs w:val="19"/>
          <w:color w:val="auto"/>
        </w:rPr>
      </w:pPr>
    </w:p>
    <w:p>
      <w:pPr>
        <w:ind w:left="1740" w:hanging="436"/>
        <w:spacing w:after="0"/>
        <w:tabs>
          <w:tab w:leader="none" w:pos="1740" w:val="left"/>
        </w:tabs>
        <w:numPr>
          <w:ilvl w:val="0"/>
          <w:numId w:val="35"/>
        </w:numPr>
        <w:rPr>
          <w:rFonts w:ascii="Arial" w:cs="Arial" w:eastAsia="Arial" w:hAnsi="Arial"/>
          <w:sz w:val="19"/>
          <w:szCs w:val="19"/>
          <w:color w:val="auto"/>
        </w:rPr>
      </w:pPr>
      <w:r>
        <w:rPr>
          <w:rFonts w:ascii="Arial" w:cs="Arial" w:eastAsia="Arial" w:hAnsi="Arial"/>
          <w:sz w:val="21"/>
          <w:szCs w:val="21"/>
          <w:color w:val="auto"/>
        </w:rPr>
        <w:t>a “covered bank” as that term is defined in, and interpreted in accordance with, 12 C.F.R. § 47.3(b); or</w:t>
      </w:r>
    </w:p>
    <w:p>
      <w:pPr>
        <w:spacing w:after="0" w:line="190" w:lineRule="exact"/>
        <w:rPr>
          <w:rFonts w:ascii="Arial" w:cs="Arial" w:eastAsia="Arial" w:hAnsi="Arial"/>
          <w:sz w:val="19"/>
          <w:szCs w:val="19"/>
          <w:color w:val="auto"/>
        </w:rPr>
      </w:pPr>
    </w:p>
    <w:p>
      <w:pPr>
        <w:ind w:left="660" w:right="840" w:firstLine="644"/>
        <w:spacing w:after="0" w:line="407" w:lineRule="auto"/>
        <w:tabs>
          <w:tab w:leader="none" w:pos="1803" w:val="left"/>
        </w:tabs>
        <w:numPr>
          <w:ilvl w:val="0"/>
          <w:numId w:val="35"/>
        </w:numPr>
        <w:rPr>
          <w:rFonts w:ascii="Arial" w:cs="Arial" w:eastAsia="Arial" w:hAnsi="Arial"/>
          <w:sz w:val="20"/>
          <w:szCs w:val="20"/>
          <w:color w:val="auto"/>
        </w:rPr>
      </w:pPr>
      <w:r>
        <w:rPr>
          <w:rFonts w:ascii="Arial" w:cs="Arial" w:eastAsia="Arial" w:hAnsi="Arial"/>
          <w:sz w:val="22"/>
          <w:szCs w:val="22"/>
          <w:color w:val="auto"/>
        </w:rPr>
        <w:t>a “covered FSI” as that term is defined in, and interpreted in accordance with, 12 C.F.R. § 382.2(b). “</w:t>
      </w:r>
      <w:r>
        <w:rPr>
          <w:rFonts w:ascii="Arial" w:cs="Arial" w:eastAsia="Arial" w:hAnsi="Arial"/>
          <w:sz w:val="22"/>
          <w:szCs w:val="22"/>
          <w:b w:val="1"/>
          <w:bCs w:val="1"/>
          <w:color w:val="auto"/>
        </w:rPr>
        <w:t>Covered Party</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10.18</w:t>
      </w:r>
      <w:r>
        <w:rPr>
          <w:rFonts w:ascii="Arial" w:cs="Arial" w:eastAsia="Arial" w:hAnsi="Arial"/>
          <w:sz w:val="22"/>
          <w:szCs w:val="22"/>
          <w:color w:val="auto"/>
        </w:rPr>
        <w:t>.</w:t>
      </w:r>
    </w:p>
    <w:p>
      <w:pPr>
        <w:ind w:left="660"/>
        <w:spacing w:after="0"/>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Cure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Cure Expiration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Cure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Cure Quarter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7.02(e)</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RFR</w:t>
      </w:r>
      <w:r>
        <w:rPr>
          <w:rFonts w:ascii="Arial" w:cs="Arial" w:eastAsia="Arial" w:hAnsi="Arial"/>
          <w:sz w:val="19"/>
          <w:szCs w:val="19"/>
          <w:color w:val="auto"/>
        </w:rPr>
        <w:t>” means, for any day (an “</w:t>
      </w:r>
      <w:r>
        <w:rPr>
          <w:rFonts w:ascii="Arial" w:cs="Arial" w:eastAsia="Arial" w:hAnsi="Arial"/>
          <w:sz w:val="19"/>
          <w:szCs w:val="19"/>
          <w:b w:val="1"/>
          <w:bCs w:val="1"/>
          <w:color w:val="auto"/>
        </w:rPr>
        <w:t>RFR Interest Day</w:t>
      </w:r>
      <w:r>
        <w:rPr>
          <w:rFonts w:ascii="Arial" w:cs="Arial" w:eastAsia="Arial" w:hAnsi="Arial"/>
          <w:sz w:val="19"/>
          <w:szCs w:val="19"/>
          <w:color w:val="auto"/>
        </w:rPr>
        <w:t>”), for any RFR Loan denominated in Sterling, an interest rate per annum equal to the greater of (a) SONIA for the day that is five Business Days prior to (A) if such RFR Interest Day is a Business Day, such RFR Interest Day or (B) if such RFR Interest Day is not a Business Day, the Business Day immediately preceding such RFR Interest Day and (b) 0.00%. Any change in Daily Simple RFR due to a change in the applicable RFR shall be effective from and including the effective date of such change in the RFR without notice to the Borrower.</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SOFR</w:t>
      </w:r>
      <w:r>
        <w:rPr>
          <w:rFonts w:ascii="Arial" w:cs="Arial" w:eastAsia="Arial" w:hAnsi="Arial"/>
          <w:sz w:val="19"/>
          <w:szCs w:val="19"/>
          <w:color w:val="auto"/>
        </w:rPr>
        <w:t>” means, for any day</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 “</w:t>
      </w:r>
      <w:r>
        <w:rPr>
          <w:rFonts w:ascii="Arial" w:cs="Arial" w:eastAsia="Arial" w:hAnsi="Arial"/>
          <w:sz w:val="19"/>
          <w:szCs w:val="19"/>
          <w:b w:val="1"/>
          <w:bCs w:val="1"/>
          <w:color w:val="auto"/>
        </w:rPr>
        <w:t>SOFR</w:t>
      </w:r>
      <w:r>
        <w:rPr>
          <w:rFonts w:ascii="Arial" w:cs="Arial" w:eastAsia="Arial" w:hAnsi="Arial"/>
          <w:sz w:val="19"/>
          <w:szCs w:val="19"/>
          <w:color w:val="FF0000"/>
          <w:strike w:val="1"/>
        </w:rPr>
        <w:t>, with the conventions for this rate (which may include a lookback)</w:t>
      </w:r>
      <w:r>
        <w:rPr>
          <w:rFonts w:ascii="Arial" w:cs="Arial" w:eastAsia="Arial" w:hAnsi="Arial"/>
          <w:sz w:val="19"/>
          <w:szCs w:val="19"/>
          <w:color w:val="auto"/>
        </w:rPr>
        <w:t xml:space="preserve"> </w:t>
      </w:r>
      <w:r>
        <w:rPr>
          <w:rFonts w:ascii="Arial" w:cs="Arial" w:eastAsia="Arial" w:hAnsi="Arial"/>
          <w:sz w:val="19"/>
          <w:szCs w:val="19"/>
          <w:color w:val="FF0000"/>
          <w:strike w:val="1"/>
        </w:rPr>
        <w:t>being</w:t>
      </w:r>
      <w:r>
        <w:rPr>
          <w:rFonts w:ascii="Arial" w:cs="Arial" w:eastAsia="Arial" w:hAnsi="Arial"/>
          <w:sz w:val="19"/>
          <w:szCs w:val="19"/>
          <w:color w:val="FF0000"/>
        </w:rPr>
        <w:t xml:space="preserve"> </w:t>
      </w:r>
      <w:r>
        <w:rPr>
          <w:rFonts w:ascii="Arial" w:cs="Arial" w:eastAsia="Arial" w:hAnsi="Arial"/>
          <w:sz w:val="19"/>
          <w:szCs w:val="19"/>
          <w:b w:val="1"/>
          <w:bCs w:val="1"/>
          <w:color w:val="0000FF"/>
        </w:rPr>
        <w:t>Rate Day</w:t>
      </w:r>
      <w:r>
        <w:rPr>
          <w:rFonts w:ascii="Arial" w:cs="Arial" w:eastAsia="Arial" w:hAnsi="Arial"/>
          <w:sz w:val="19"/>
          <w:szCs w:val="19"/>
          <w:color w:val="0000FF"/>
        </w:rPr>
        <w:t>”), a rate per annum equal to SOFR for the day (such day “</w:t>
      </w:r>
      <w:r>
        <w:rPr>
          <w:rFonts w:ascii="Arial" w:cs="Arial" w:eastAsia="Arial" w:hAnsi="Arial"/>
          <w:sz w:val="19"/>
          <w:szCs w:val="19"/>
          <w:b w:val="1"/>
          <w:bCs w:val="1"/>
          <w:color w:val="0000FF"/>
        </w:rPr>
        <w:t>SOFR Determination Date</w:t>
      </w:r>
      <w:r>
        <w:rPr>
          <w:rFonts w:ascii="Arial" w:cs="Arial" w:eastAsia="Arial" w:hAnsi="Arial"/>
          <w:sz w:val="19"/>
          <w:szCs w:val="19"/>
          <w:color w:val="0000FF"/>
        </w:rPr>
        <w:t>”) that is five (5) U.S.</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w:t>
      </w:r>
      <w:r>
        <w:rPr>
          <w:rFonts w:ascii="Arial" w:cs="Arial" w:eastAsia="Arial" w:hAnsi="Arial"/>
          <w:sz w:val="19"/>
          <w:szCs w:val="19"/>
          <w:color w:val="0000FF"/>
        </w:rPr>
        <w:t xml:space="preserve"> </w:t>
      </w:r>
      <w:r>
        <w:rPr>
          <w:rFonts w:ascii="Arial" w:cs="Arial" w:eastAsia="Arial" w:hAnsi="Arial"/>
          <w:sz w:val="19"/>
          <w:szCs w:val="19"/>
          <w:color w:val="FF0000"/>
          <w:strike w:val="1"/>
        </w:rPr>
        <w:t>esta</w:t>
      </w:r>
      <w:r>
        <w:rPr>
          <w:rFonts w:ascii="Arial" w:cs="Arial" w:eastAsia="Arial" w:hAnsi="Arial"/>
          <w:sz w:val="19"/>
          <w:szCs w:val="19"/>
          <w:u w:val="single" w:color="auto"/>
          <w:color w:val="0000FF"/>
        </w:rPr>
        <w:t>pu</w:t>
      </w:r>
      <w:r>
        <w:rPr>
          <w:rFonts w:ascii="Arial" w:cs="Arial" w:eastAsia="Arial" w:hAnsi="Arial"/>
          <w:sz w:val="19"/>
          <w:szCs w:val="19"/>
          <w:color w:val="000000"/>
        </w:rPr>
        <w:t>blished by the</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Administrat</w:t>
      </w:r>
      <w:r>
        <w:rPr>
          <w:rFonts w:ascii="Arial" w:cs="Arial" w:eastAsia="Arial" w:hAnsi="Arial"/>
          <w:sz w:val="19"/>
          <w:szCs w:val="19"/>
          <w:color w:val="FF0000"/>
          <w:strike w:val="1"/>
        </w:rPr>
        <w:t>ive</w:t>
      </w:r>
      <w:r>
        <w:rPr>
          <w:rFonts w:ascii="Arial" w:cs="Arial" w:eastAsia="Arial" w:hAnsi="Arial"/>
          <w:sz w:val="19"/>
          <w:szCs w:val="19"/>
          <w:u w:val="single" w:color="auto"/>
          <w:color w:val="0000FF"/>
        </w:rPr>
        <w:t>or</w:t>
      </w:r>
      <w:r>
        <w:rPr>
          <w:rFonts w:ascii="Arial" w:cs="Arial" w:eastAsia="Arial" w:hAnsi="Arial"/>
          <w:sz w:val="19"/>
          <w:szCs w:val="19"/>
          <w:color w:val="000000"/>
        </w:rPr>
        <w:t xml:space="preserve"> </w:t>
      </w:r>
      <w:r>
        <w:rPr>
          <w:rFonts w:ascii="Arial" w:cs="Arial" w:eastAsia="Arial" w:hAnsi="Arial"/>
          <w:sz w:val="19"/>
          <w:szCs w:val="19"/>
          <w:color w:val="FF0000"/>
          <w:strike w:val="1"/>
        </w:rPr>
        <w:t>Agent in accordance with the conventions for this rate selected or recommended by the Relevant Governmental</w:t>
      </w:r>
      <w:r>
        <w:rPr>
          <w:rFonts w:ascii="Arial" w:cs="Arial" w:eastAsia="Arial" w:hAnsi="Arial"/>
          <w:sz w:val="19"/>
          <w:szCs w:val="19"/>
          <w:color w:val="000000"/>
        </w:rPr>
        <w:t xml:space="preserve"> </w:t>
      </w:r>
      <w:r>
        <w:rPr>
          <w:rFonts w:ascii="Arial" w:cs="Arial" w:eastAsia="Arial" w:hAnsi="Arial"/>
          <w:sz w:val="19"/>
          <w:szCs w:val="19"/>
          <w:color w:val="FF0000"/>
          <w:strike w:val="1"/>
        </w:rPr>
        <w:t>Body for determining “</w:t>
      </w:r>
      <w:r>
        <w:rPr>
          <w:rFonts w:ascii="Arial" w:cs="Arial" w:eastAsia="Arial" w:hAnsi="Arial"/>
          <w:sz w:val="19"/>
          <w:szCs w:val="19"/>
          <w:u w:val="single" w:color="auto"/>
          <w:color w:val="008000"/>
        </w:rPr>
        <w:t>on the SOFR Administrator’s Website</w:t>
      </w:r>
      <w:r>
        <w:rPr>
          <w:rFonts w:ascii="Arial" w:cs="Arial" w:eastAsia="Arial" w:hAnsi="Arial"/>
          <w:sz w:val="19"/>
          <w:szCs w:val="19"/>
          <w:u w:val="single" w:color="auto"/>
          <w:color w:val="0000FF"/>
        </w:rPr>
        <w:t>. Any change in</w:t>
      </w:r>
      <w:r>
        <w:rPr>
          <w:rFonts w:ascii="Arial" w:cs="Arial" w:eastAsia="Arial" w:hAnsi="Arial"/>
          <w:sz w:val="19"/>
          <w:szCs w:val="19"/>
          <w:color w:val="FF0000"/>
        </w:rPr>
        <w:t xml:space="preserve"> </w:t>
      </w:r>
      <w:r>
        <w:rPr>
          <w:rFonts w:ascii="Arial" w:cs="Arial" w:eastAsia="Arial" w:hAnsi="Arial"/>
          <w:sz w:val="19"/>
          <w:szCs w:val="19"/>
          <w:color w:val="000000"/>
        </w:rPr>
        <w:t>Daily Simple SOFR</w:t>
      </w:r>
      <w:r>
        <w:rPr>
          <w:rFonts w:ascii="Arial" w:cs="Arial" w:eastAsia="Arial" w:hAnsi="Arial"/>
          <w:sz w:val="19"/>
          <w:szCs w:val="19"/>
          <w:color w:val="FF0000"/>
          <w:strike w:val="1"/>
        </w:rPr>
        <w:t>” for business loans;</w:t>
      </w:r>
      <w:r>
        <w:rPr>
          <w:rFonts w:ascii="Arial" w:cs="Arial" w:eastAsia="Arial" w:hAnsi="Arial"/>
          <w:sz w:val="19"/>
          <w:szCs w:val="19"/>
          <w:color w:val="FF0000"/>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FF0000"/>
          <w:strike w:val="1"/>
        </w:rPr>
        <w:t xml:space="preserve">that if the Administrative Agent decides that any such convention is not administratively feasible for the Administrative Agent, then the Administrative Agent may establish another convention in its reasonable discretion. </w:t>
      </w:r>
      <w:r>
        <w:rPr>
          <w:rFonts w:ascii="Arial" w:cs="Arial" w:eastAsia="Arial" w:hAnsi="Arial"/>
          <w:sz w:val="19"/>
          <w:szCs w:val="19"/>
          <w:u w:val="single" w:color="auto"/>
          <w:color w:val="0000FF"/>
          <w:strike w:val="1"/>
        </w:rPr>
        <w:t>due to a change in SOFR shall be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effective from and including the effective date of such change in SOFR without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-1126490</wp:posOffset>
            </wp:positionV>
            <wp:extent cx="68281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828155" cy="8890"/>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 Purchase Transaction</w:t>
      </w:r>
      <w:r>
        <w:rPr>
          <w:rFonts w:ascii="Arial" w:cs="Arial" w:eastAsia="Arial" w:hAnsi="Arial"/>
          <w:sz w:val="22"/>
          <w:szCs w:val="22"/>
          <w:color w:val="auto"/>
        </w:rPr>
        <w:t>” means, in relation to a person, a transaction where such person:</w:t>
      </w:r>
    </w:p>
    <w:p>
      <w:pPr>
        <w:spacing w:after="0" w:line="185" w:lineRule="exact"/>
        <w:rPr>
          <w:sz w:val="20"/>
          <w:szCs w:val="20"/>
          <w:color w:val="auto"/>
        </w:rPr>
      </w:pPr>
    </w:p>
    <w:p>
      <w:pPr>
        <w:ind w:left="940" w:hanging="284"/>
        <w:spacing w:after="0"/>
        <w:tabs>
          <w:tab w:leader="none" w:pos="9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purchases by way of assignment or transfer;</w:t>
      </w:r>
    </w:p>
    <w:p>
      <w:pPr>
        <w:spacing w:after="0" w:line="179"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enters into any sub-participation in respect of; or</w:t>
      </w:r>
    </w:p>
    <w:p>
      <w:pPr>
        <w:spacing w:after="0" w:line="179" w:lineRule="exact"/>
        <w:rPr>
          <w:rFonts w:ascii="Arial" w:cs="Arial" w:eastAsia="Arial" w:hAnsi="Arial"/>
          <w:sz w:val="22"/>
          <w:szCs w:val="22"/>
          <w:color w:val="auto"/>
        </w:rPr>
      </w:pPr>
    </w:p>
    <w:p>
      <w:pPr>
        <w:ind w:firstLine="656"/>
        <w:spacing w:after="0" w:line="232" w:lineRule="auto"/>
        <w:tabs>
          <w:tab w:leader="none" w:pos="953"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enters into any other agreement or arrangement having an economic effect substantially similar to a sub-participation in respect 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Commitment or amount outstanding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01" w:name="page102"/>
    <w:bookmarkEnd w:id="101"/>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Debtor Relief Laws</w:t>
      </w:r>
      <w:r>
        <w:rPr>
          <w:rFonts w:ascii="Arial" w:cs="Arial" w:eastAsia="Arial" w:hAnsi="Arial"/>
          <w:sz w:val="22"/>
          <w:szCs w:val="22"/>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Deemed LC Issuance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2.19(l)</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Deemed LC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2.19(l)</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Deemed LC Termination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2.19(l)</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5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such funding (each of which conditions precedent, together with any applicable default, shall be specifically identified in such writing) has not been satisfied, (ii) fund any portion of its participation in Letters of Credit hereunder within two Business Days of the date when due or (iii) pay to the Administrative Agent, any Issuing Bank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Borrower, (d) has, or has a direct or indirect parent company that has,</w:t>
      </w:r>
    </w:p>
    <w:p>
      <w:pPr>
        <w:jc w:val="both"/>
        <w:ind w:firstLine="8"/>
        <w:spacing w:after="0" w:line="241" w:lineRule="auto"/>
        <w:tabs>
          <w:tab w:leader="none" w:pos="258"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has become the subject of a Bail-In Action. Any determination by the Administrative Agent that a Lender is a Defaulting Lender under clauses (a) through (e)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upon delivery of written notice of such determination to the Borrower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5" w:right="339" w:bottom="1440" w:gutter="0" w:footer="0" w:header="0"/>
        </w:sectPr>
      </w:pPr>
    </w:p>
    <w:bookmarkStart w:id="102" w:name="page103"/>
    <w:bookmarkEnd w:id="102"/>
    <w:p>
      <w:pPr>
        <w:jc w:val="both"/>
        <w:ind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Disposition</w:t>
      </w:r>
      <w:r>
        <w:rPr>
          <w:rFonts w:ascii="Arial" w:cs="Arial" w:eastAsia="Arial" w:hAnsi="Arial"/>
          <w:sz w:val="21"/>
          <w:szCs w:val="21"/>
          <w:color w:val="auto"/>
        </w:rPr>
        <w:t>” means, with respect to any property or right, any sale, lease, sale and leaseback, assignment, license, conveyance, transfer or other disposition thereof (in one transaction or in a series of transactions and whether effected pursuant to a Division or otherwise). “</w:t>
      </w:r>
      <w:r>
        <w:rPr>
          <w:rFonts w:ascii="Arial" w:cs="Arial" w:eastAsia="Arial" w:hAnsi="Arial"/>
          <w:sz w:val="21"/>
          <w:szCs w:val="21"/>
          <w:b w:val="1"/>
          <w:bCs w:val="1"/>
          <w:color w:val="auto"/>
        </w:rPr>
        <w:t>Dispose</w:t>
      </w:r>
      <w:r>
        <w:rPr>
          <w:rFonts w:ascii="Arial" w:cs="Arial" w:eastAsia="Arial" w:hAnsi="Arial"/>
          <w:sz w:val="21"/>
          <w:szCs w:val="21"/>
          <w:color w:val="auto"/>
        </w:rPr>
        <w:t>” and “</w:t>
      </w:r>
      <w:r>
        <w:rPr>
          <w:rFonts w:ascii="Arial" w:cs="Arial" w:eastAsia="Arial" w:hAnsi="Arial"/>
          <w:sz w:val="21"/>
          <w:szCs w:val="21"/>
          <w:b w:val="1"/>
          <w:bCs w:val="1"/>
          <w:color w:val="auto"/>
        </w:rPr>
        <w:t>Disposed of</w:t>
      </w:r>
      <w:r>
        <w:rPr>
          <w:rFonts w:ascii="Arial" w:cs="Arial" w:eastAsia="Arial" w:hAnsi="Arial"/>
          <w:sz w:val="21"/>
          <w:szCs w:val="21"/>
          <w:color w:val="auto"/>
        </w:rPr>
        <w:t>” have meanings correlative thereto.</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Disqualified Lender</w:t>
      </w:r>
      <w:r>
        <w:rPr>
          <w:rFonts w:ascii="Arial" w:cs="Arial" w:eastAsia="Arial" w:hAnsi="Arial"/>
          <w:sz w:val="21"/>
          <w:szCs w:val="21"/>
          <w:color w:val="auto"/>
        </w:rPr>
        <w:t>” means (</w:t>
      </w:r>
      <w:r>
        <w:rPr>
          <w:rFonts w:ascii="Arial" w:cs="Arial" w:eastAsia="Arial" w:hAnsi="Arial"/>
          <w:sz w:val="21"/>
          <w:szCs w:val="21"/>
          <w:u w:val="single" w:color="auto"/>
          <w:color w:val="auto"/>
        </w:rPr>
        <w:t>a</w:t>
      </w:r>
      <w:r>
        <w:rPr>
          <w:rFonts w:ascii="Arial" w:cs="Arial" w:eastAsia="Arial" w:hAnsi="Arial"/>
          <w:sz w:val="21"/>
          <w:szCs w:val="21"/>
          <w:color w:val="auto"/>
        </w:rPr>
        <w:t>) any Person identified in writing by name to the Arrangers prior to the Effective Date, (</w:t>
      </w:r>
      <w:r>
        <w:rPr>
          <w:rFonts w:ascii="Arial" w:cs="Arial" w:eastAsia="Arial" w:hAnsi="Arial"/>
          <w:sz w:val="21"/>
          <w:szCs w:val="21"/>
          <w:u w:val="single" w:color="auto"/>
          <w:color w:val="auto"/>
        </w:rPr>
        <w:t>b</w:t>
      </w:r>
      <w:r>
        <w:rPr>
          <w:rFonts w:ascii="Arial" w:cs="Arial" w:eastAsia="Arial" w:hAnsi="Arial"/>
          <w:sz w:val="21"/>
          <w:szCs w:val="21"/>
          <w:color w:val="auto"/>
        </w:rPr>
        <w:t>) any Person that is or becomes a Borrower Competitor, and is designated by name by the Borrower as such in a writing provided to the Administrative Agent after the Effective Date,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any Affiliate of any Person referred to in </w:t>
      </w:r>
      <w:r>
        <w:rPr>
          <w:rFonts w:ascii="Arial" w:cs="Arial" w:eastAsia="Arial" w:hAnsi="Arial"/>
          <w:sz w:val="21"/>
          <w:szCs w:val="21"/>
          <w:u w:val="single" w:color="auto"/>
          <w:color w:val="auto"/>
        </w:rPr>
        <w:t>clauses (a) and (b)</w:t>
      </w:r>
      <w:r>
        <w:rPr>
          <w:rFonts w:ascii="Arial" w:cs="Arial" w:eastAsia="Arial" w:hAnsi="Arial"/>
          <w:sz w:val="21"/>
          <w:szCs w:val="21"/>
          <w:color w:val="auto"/>
        </w:rPr>
        <w:t xml:space="preserve"> above that (i) have been identified to the Administrative Agent by the Borrower in writing from time to time or (ii) otherwise are reasonably identifiable on the basis of their name;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written notice delivered pursuant to </w:t>
      </w:r>
      <w:r>
        <w:rPr>
          <w:rFonts w:ascii="Arial" w:cs="Arial" w:eastAsia="Arial" w:hAnsi="Arial"/>
          <w:sz w:val="21"/>
          <w:szCs w:val="21"/>
          <w:u w:val="single" w:color="auto"/>
          <w:color w:val="auto"/>
        </w:rPr>
        <w:t>clauses (b) and (c)</w:t>
      </w:r>
      <w:r>
        <w:rPr>
          <w:rFonts w:ascii="Arial" w:cs="Arial" w:eastAsia="Arial" w:hAnsi="Arial"/>
          <w:sz w:val="21"/>
          <w:szCs w:val="21"/>
          <w:color w:val="auto"/>
        </w:rPr>
        <w:t xml:space="preserve"> above shall (A) apply retroactively to disqualify any Person that has previously acquired an assignment or participation interest in any Loans or entered into a trade for either of the foregoing or (B) become effective until two Business Days after such written notice is delivered to the Administrative Agent.</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Distributed Amount</w:t>
      </w:r>
      <w:r>
        <w:rPr>
          <w:rFonts w:ascii="Arial" w:cs="Arial" w:eastAsia="Arial" w:hAnsi="Arial"/>
          <w:sz w:val="21"/>
          <w:szCs w:val="21"/>
          <w:color w:val="auto"/>
        </w:rPr>
        <w:t>” means the amount distributed or paid to the Secured Parties or to the Administrative Agent on behalf of the Secured Parties (or any of them) by the person responsible for the distribution of the assets (including any payments) of a Loan Party which is insolvent or otherwise subject to insolvency or similar proceedings.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Dividing Person</w:t>
      </w:r>
      <w:r>
        <w:rPr>
          <w:rFonts w:ascii="Arial" w:cs="Arial" w:eastAsia="Arial" w:hAnsi="Arial"/>
          <w:sz w:val="22"/>
          <w:szCs w:val="22"/>
          <w:color w:val="auto"/>
        </w:rPr>
        <w:t>” has the meaning assigned to it in the definition of “Division”.</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Division</w:t>
      </w:r>
      <w:r>
        <w:rPr>
          <w:rFonts w:ascii="Arial" w:cs="Arial" w:eastAsia="Arial" w:hAnsi="Arial"/>
          <w:sz w:val="22"/>
          <w:szCs w:val="22"/>
          <w:color w:val="auto"/>
        </w:rPr>
        <w:t>”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Documentation Agent</w:t>
      </w:r>
      <w:r>
        <w:rPr>
          <w:rFonts w:ascii="Arial" w:cs="Arial" w:eastAsia="Arial" w:hAnsi="Arial"/>
          <w:sz w:val="22"/>
          <w:szCs w:val="22"/>
          <w:color w:val="auto"/>
        </w:rPr>
        <w:t>” means each of Barclays Bank PLC and Bank of America, N.A. in their capacities as documentation agents, and any successors thereto.</w:t>
      </w:r>
    </w:p>
    <w:p>
      <w:pPr>
        <w:spacing w:after="0" w:line="15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Dollar Equivalent</w:t>
      </w:r>
      <w:r>
        <w:rPr>
          <w:rFonts w:ascii="Arial" w:cs="Arial" w:eastAsia="Arial" w:hAnsi="Arial"/>
          <w:sz w:val="21"/>
          <w:szCs w:val="21"/>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reasonable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such amount that is expressed in a currency other than Dollars, to the extent such amount is the subject of a currency hedge arrangement evidenced by a Swap Agreement, the “Dollar Equivalent” of such amount shall be the equivalent of such amount in Dollars determined by using the rate of exchange for the purchase of Dollars with such currency as set forth in such Swap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refers to lawful money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5" w:right="339" w:bottom="1440" w:gutter="0" w:footer="0" w:header="0"/>
        </w:sectPr>
      </w:pPr>
    </w:p>
    <w:bookmarkStart w:id="103" w:name="page104"/>
    <w:bookmarkEnd w:id="103"/>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Domestic Subsidiary</w:t>
      </w:r>
      <w:r>
        <w:rPr>
          <w:rFonts w:ascii="Arial" w:cs="Arial" w:eastAsia="Arial" w:hAnsi="Arial"/>
          <w:sz w:val="22"/>
          <w:szCs w:val="22"/>
          <w:color w:val="auto"/>
        </w:rPr>
        <w:t>” means any Subsidiary that is organized under the laws of any political subdivision of the United States, excluding (x) any such Subsidiary substantially all of the assets of which consist of Equity Interests in one or more Subsidiaries that are “controlled foreign corporations” within the meaning of Section 957 of the Code and (y) any such Subsidiary that is owned (directly or indirectly, in whole or in part) by one or more Subsidiaries that are “controlled foreign corporations” within the meaning of Section 957 of the Code.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Early Opt-in Election</w:t>
      </w:r>
      <w:r>
        <w:rPr>
          <w:rFonts w:ascii="Arial" w:cs="Arial" w:eastAsia="Arial" w:hAnsi="Arial"/>
          <w:sz w:val="19"/>
          <w:szCs w:val="19"/>
          <w:color w:val="FF0000"/>
          <w:strike w:val="1"/>
        </w:rPr>
        <w:t>” means, if the then current Benchmark with respect to Dollars is LIBO Rate, the occurrence of:</w:t>
      </w:r>
    </w:p>
    <w:p>
      <w:pPr>
        <w:spacing w:after="0" w:line="220" w:lineRule="exact"/>
        <w:rPr>
          <w:sz w:val="20"/>
          <w:szCs w:val="20"/>
          <w:color w:val="auto"/>
        </w:rPr>
      </w:pPr>
    </w:p>
    <w:p>
      <w:pPr>
        <w:jc w:val="both"/>
        <w:ind w:left="660" w:firstLine="644"/>
        <w:spacing w:after="0" w:line="216" w:lineRule="auto"/>
        <w:tabs>
          <w:tab w:leader="none" w:pos="1807" w:val="left"/>
        </w:tabs>
        <w:numPr>
          <w:ilvl w:val="0"/>
          <w:numId w:val="38"/>
        </w:numPr>
        <w:rPr>
          <w:rFonts w:ascii="Arial" w:cs="Arial" w:eastAsia="Arial" w:hAnsi="Arial"/>
          <w:sz w:val="22"/>
          <w:szCs w:val="22"/>
          <w:color w:val="FF0000"/>
          <w:strike w:val="1"/>
        </w:rPr>
      </w:pPr>
      <w:r>
        <w:rPr>
          <w:rFonts w:ascii="Arial" w:cs="Arial" w:eastAsia="Arial" w:hAnsi="Arial"/>
          <w:sz w:val="22"/>
          <w:szCs w:val="22"/>
          <w:color w:val="FF0000"/>
          <w:strike w:val="1"/>
        </w:rPr>
        <w:t>a notification by the Administrative Agent to (or the request by the Borrower to the Administrative Agent to notify) each of the other parties hereto that at least five currently outstanding Dollar 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57" w:lineRule="exact"/>
        <w:rPr>
          <w:rFonts w:ascii="Arial" w:cs="Arial" w:eastAsia="Arial" w:hAnsi="Arial"/>
          <w:sz w:val="22"/>
          <w:szCs w:val="22"/>
          <w:color w:val="FF0000"/>
          <w:strike w:val="1"/>
        </w:rPr>
      </w:pPr>
    </w:p>
    <w:p>
      <w:pPr>
        <w:ind w:left="660" w:firstLine="644"/>
        <w:spacing w:after="0" w:line="298" w:lineRule="auto"/>
        <w:tabs>
          <w:tab w:leader="none" w:pos="1783" w:val="left"/>
        </w:tabs>
        <w:numPr>
          <w:ilvl w:val="0"/>
          <w:numId w:val="38"/>
        </w:numPr>
        <w:rPr>
          <w:rFonts w:ascii="Arial" w:cs="Arial" w:eastAsia="Arial" w:hAnsi="Arial"/>
          <w:sz w:val="19"/>
          <w:szCs w:val="19"/>
          <w:color w:val="FF0000"/>
          <w:strike w:val="1"/>
        </w:rPr>
      </w:pPr>
      <w:r>
        <w:rPr>
          <w:rFonts w:ascii="Arial" w:cs="Arial" w:eastAsia="Arial" w:hAnsi="Arial"/>
          <w:sz w:val="19"/>
          <w:szCs w:val="19"/>
          <w:color w:val="FF0000"/>
          <w:strike w:val="1"/>
        </w:rPr>
        <w:t>the joint election by the Administrative Agent and the Borrower to trigger a fallback from LIBO Rate and the provision, as applicable, by the Administrative Agent of written notice of such election to the Borrower and the Lenders.</w:t>
      </w:r>
    </w:p>
    <w:p>
      <w:pPr>
        <w:spacing w:after="0" w:line="9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1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means the date on which each of the conditions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have been satisfied (or waived in accordance with </w:t>
      </w:r>
      <w:r>
        <w:rPr>
          <w:rFonts w:ascii="Arial" w:cs="Arial" w:eastAsia="Arial" w:hAnsi="Arial"/>
          <w:sz w:val="22"/>
          <w:szCs w:val="22"/>
          <w:u w:val="single" w:color="auto"/>
          <w:color w:val="auto"/>
        </w:rPr>
        <w:t>Section 10.02</w:t>
      </w:r>
      <w:r>
        <w:rPr>
          <w:rFonts w:ascii="Arial" w:cs="Arial" w:eastAsia="Arial" w:hAnsi="Arial"/>
          <w:sz w:val="22"/>
          <w:szCs w:val="22"/>
          <w:color w:val="auto"/>
        </w:rPr>
        <w:t>), which date occurred on November 1, 2021.</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3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xml:space="preserve"> ” means all laws, rules, regulations, codes, ordinances, orders, decrees, judgments, injunctions, notices or binding agreements issued, promulgated or entered into by any Governmental Authority, relating in any way to the environment, preservation or reclamation of natural resources, the generation, use, handling, transportation, storage, treatment, disposal, management, release or threatened release of any Hazardous Material or to health and safety matters (to the extent related to Hazardous Material).</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Liability</w:t>
      </w:r>
      <w:r>
        <w:rPr>
          <w:rFonts w:ascii="Arial" w:cs="Arial" w:eastAsia="Arial" w:hAnsi="Arial"/>
          <w:sz w:val="22"/>
          <w:szCs w:val="22"/>
          <w:color w:val="auto"/>
        </w:rPr>
        <w:t>” means any liability, contingent or otherwise (including any liability for damages, costs of investigation, reclamation or remediation, fines, penalties or indemnities), of the Parent, the Borrower or any Subsidiary directly or indirectly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9"/>
          <w:szCs w:val="19"/>
          <w:color w:val="auto"/>
        </w:rPr>
        <w:t>or based upon (a) any Environmental Law, including compliance or noncompliance therewith, (b) the generation, use, handling, transportation, storage, treatment or disposal of any Hazardous Materials, (c) exposure to any Hazardous Materials, (d) the presence, release or threatened release of any Hazardous Materials into the environment or (e) any contract, agreement or other consensual arrangement pursuant to which liability is assumed or imposed with respect to any of the foregoing.</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Interests</w:t>
      </w:r>
      <w:r>
        <w:rPr>
          <w:rFonts w:ascii="Arial" w:cs="Arial" w:eastAsia="Arial" w:hAnsi="Arial"/>
          <w:sz w:val="19"/>
          <w:szCs w:val="19"/>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Equity Interests shall not include any debt securities that are convertible into or exchangeable for any combination of Equity Interests and/or cash.</w:t>
      </w:r>
    </w:p>
    <w:p>
      <w:pPr>
        <w:spacing w:after="0" w:line="13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U.S. Employee Retirement Income Security Act of 1974, as amended from time to time, and the regulations promulgated and rulings issued thereunder.</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Affiliate</w:t>
      </w:r>
      <w:r>
        <w:rPr>
          <w:rFonts w:ascii="Arial" w:cs="Arial" w:eastAsia="Arial" w:hAnsi="Arial"/>
          <w:sz w:val="22"/>
          <w:szCs w:val="22"/>
          <w:color w:val="auto"/>
        </w:rPr>
        <w:t>” means any person that for purposes of Title I or Title IV of ERISA or Section 412 of the Code would be deemed at any relevant time to be a single employer or otherwise aggregated with the Parent, the Borrower or a Subsidiary under Section 414(b), (c), (m) or (o) of the Code or Section 4001 of ERISA.</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Event</w:t>
      </w:r>
      <w:r>
        <w:rPr>
          <w:rFonts w:ascii="Arial" w:cs="Arial" w:eastAsia="Arial" w:hAnsi="Arial"/>
          <w:sz w:val="19"/>
          <w:szCs w:val="19"/>
          <w:color w:val="auto"/>
        </w:rPr>
        <w:t>” means any one or more of the following: (a) any reportable event, as defined in Section 4043 of ERISA, with respect to a Plan, as to which the PBGC has not waived under subsection .22, .23, .25, .26, .27, .28, .29, .30, .31, .32, .34 or</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.35 of PBGC Regulation Section 4043 the requirement of Section 4043(a) of ERISA that it be notified of such event; (b) the termination of any Plan under Section 4041(c)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the failure to satisfy the minimum funding standard under Section 412 of the Code or Section 302 of ERISA, whether or not waived; or a determination that any Plan is considered an at-risk plan within the meaning of Section 430 of the Code or Section 303 of ERISA; (f) engaging in a non-exempt prohibited transaction within the meaning of Section 4975 of the Code or Section 406 of ERISA with respect to a Plan; (g) the complete or partial withdrawal of the Parent, any Borrower, Subsidiary or any ERISA Affiliate from a Multiemployer Plan which results in the imposition of Withdrawal Liability or the insolvency under Title IV of ERISA of any Multiemployer Plan or (h) a determination that any Multiemployer Plan is in endangered or critical status under Section 432 of the Code or Section 305 of ERISA.</w:t>
      </w:r>
    </w:p>
    <w:p>
      <w:pPr>
        <w:spacing w:after="0" w:line="3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EURIBOR Interpolated Rate</w:t>
      </w:r>
      <w:r>
        <w:rPr>
          <w:rFonts w:ascii="Arial" w:cs="Arial" w:eastAsia="Arial" w:hAnsi="Arial"/>
          <w:sz w:val="19"/>
          <w:szCs w:val="19"/>
          <w:color w:val="auto"/>
        </w:rPr>
        <w:t>” 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05" w:name="page106"/>
    <w:bookmarkEnd w:id="105"/>
    <w:p>
      <w:pPr>
        <w:jc w:val="both"/>
        <w:spacing w:after="0" w:line="298" w:lineRule="auto"/>
        <w:rPr>
          <w:sz w:val="20"/>
          <w:szCs w:val="20"/>
          <w:color w:val="auto"/>
        </w:rPr>
      </w:pPr>
      <w:r>
        <w:rPr>
          <w:rFonts w:ascii="Arial" w:cs="Arial" w:eastAsia="Arial" w:hAnsi="Arial"/>
          <w:sz w:val="19"/>
          <w:szCs w:val="19"/>
          <w:color w:val="auto"/>
        </w:rPr>
        <w:t>for Euros) that exceeds the Impacted EURIBOR Rate Interest Period, in each case, at such time; provided that, if any EURIBOR Interpolated Rate shall be less than 0.00%, such rate shall be deemed to be 0.00% for the purposes of this Agreement.</w:t>
      </w:r>
    </w:p>
    <w:p>
      <w:pPr>
        <w:spacing w:after="0" w:line="9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EURIBOR Rate</w:t>
      </w:r>
      <w:r>
        <w:rPr>
          <w:rFonts w:ascii="Arial" w:cs="Arial" w:eastAsia="Arial" w:hAnsi="Arial"/>
          <w:sz w:val="22"/>
          <w:szCs w:val="22"/>
          <w:color w:val="auto"/>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Arial" w:cs="Arial" w:eastAsia="Arial" w:hAnsi="Arial"/>
          <w:sz w:val="22"/>
          <w:szCs w:val="22"/>
          <w:b w:val="1"/>
          <w:bCs w:val="1"/>
          <w:color w:val="auto"/>
        </w:rPr>
        <w:t>Impacted EURIBOR Rate Interest Period</w:t>
      </w:r>
      <w:r>
        <w:rPr>
          <w:rFonts w:ascii="Arial" w:cs="Arial" w:eastAsia="Arial" w:hAnsi="Arial"/>
          <w:sz w:val="22"/>
          <w:szCs w:val="22"/>
          <w:color w:val="auto"/>
        </w:rPr>
        <w:t>”) with respect to Euros then the EURIBOR Rate shall be the EURIBOR Interpolated Rate.</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EURIBOR Screen Rate</w:t>
      </w:r>
      <w:r>
        <w:rPr>
          <w:rFonts w:ascii="Arial" w:cs="Arial" w:eastAsia="Arial" w:hAnsi="Arial"/>
          <w:sz w:val="19"/>
          <w:szCs w:val="19"/>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0.00%, the EURIBOR Screen Rate shall be deemed to be 0.00% for purposes of this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w:t>
      </w:r>
      <w:r>
        <w:rPr>
          <w:rFonts w:ascii="Arial" w:cs="Arial" w:eastAsia="Arial" w:hAnsi="Arial"/>
          <w:sz w:val="22"/>
          <w:szCs w:val="22"/>
          <w:color w:val="auto"/>
        </w:rPr>
        <w:t>”, “</w:t>
      </w:r>
      <w:r>
        <w:rPr>
          <w:rFonts w:ascii="Arial" w:cs="Arial" w:eastAsia="Arial" w:hAnsi="Arial"/>
          <w:sz w:val="22"/>
          <w:szCs w:val="22"/>
          <w:b w:val="1"/>
          <w:bCs w:val="1"/>
          <w:color w:val="auto"/>
        </w:rPr>
        <w:t>EUR</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 the single currency of the Participating Member States.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Property</w:t>
      </w:r>
      <w:r>
        <w:rPr>
          <w:rFonts w:ascii="Arial" w:cs="Arial" w:eastAsia="Arial" w:hAnsi="Arial"/>
          <w:sz w:val="19"/>
          <w:szCs w:val="19"/>
          <w:color w:val="auto"/>
        </w:rPr>
        <w:t xml:space="preserve"> ” means (a) any fee interest in real property having a value of at least $2,500,000 and any leasehold interest in real property, (b) any property that secures Indebtedness permitted to be incurred pursuant to Section 6.01(d) to the extent the documents governing such Indebtedness do not permit any other Lien on such property, (c) motor vehicles, aircraft, boats and other assets subject to a certificate of title to the extent a Lien on such other assets cannot be perfected by filing a UCC-1 financing statement, (d) property the grant of a security interest thereon to secure the Obligations is (1) prohibited by applicable law, rule or regulation (in each case, except to the extent such prohibition is unenforceable after giving effect to the applicable anti-assignment provisions of Article 9 of the Uniform Commercial Code) or (2) which requires governmental consent, approval, license or authorization to be pledged (unless such consent, approval, license or authorization has been received and the Borrower shall be under no obligation to seek such consent), (e) any lease, license or other agreement and any property subject thereto on the Effective Date or on the date of the acquisition of such property (other than any property acquired by a Loan Party subject to any such contract or other agreement to the extent such contract or other agreement was incurred in contemplation of such acquisition) to the extent that a grant of a security interest therein to secure the Obligations would violate or invalidate such lease, license, contract or agreement or create a right of termination in favor of any other party thereto (other than the Borrower, any other Loan Party or any Subsidiary) after giving effect to the applicable anti-assignment provisions of Article 9 of the Uniform Commercial Code, (f) any governmental licenses or state or local franchises, charters and authorizations, to the extent security interests in such licenses, franchises, charters or authorizations are prohibited or restricted thereby or require the consent of any Governmental Authority (to the extent such consent has not been obtained; provided that the Borrower shall be under no obligation to seek such consent) after giving effect to the applicable anti-assignment provisions of Article 9 of the Uniform Commercial Code, (g) pending United States “intent-to-use” trademark applications for which a verified statement of use or an amendment to allege use has not been filed with and accepted by the United States Patent and Trademark Office, (h)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106" w:name="page107"/>
    <w:bookmarkEnd w:id="106"/>
    <w:p>
      <w:pPr>
        <w:jc w:val="both"/>
        <w:spacing w:after="0" w:line="244" w:lineRule="auto"/>
        <w:rPr>
          <w:sz w:val="20"/>
          <w:szCs w:val="20"/>
          <w:color w:val="auto"/>
        </w:rPr>
      </w:pPr>
      <w:r>
        <w:rPr>
          <w:rFonts w:ascii="Arial" w:cs="Arial" w:eastAsia="Arial" w:hAnsi="Arial"/>
          <w:sz w:val="19"/>
          <w:szCs w:val="19"/>
          <w:color w:val="auto"/>
        </w:rPr>
        <w:t xml:space="preserve">payroll, healthcare and other employee wage and benefit accounts, (B) tax accounts, including, without limitation, sales tax accounts, (C) escrow, defeasance and redemption accounts, (D) fiduciary or trust accounts, (E) cash collateral accounts encumbered by Liens pursuant to Section 6.02(z) and (F) bank accounts containing an average daily balance not to exceed $2,500,000 in the aggregate for all such accounts for any fiscal month (items </w:t>
      </w:r>
      <w:r>
        <w:rPr>
          <w:rFonts w:ascii="Arial" w:cs="Arial" w:eastAsia="Arial" w:hAnsi="Arial"/>
          <w:sz w:val="19"/>
          <w:szCs w:val="19"/>
          <w:u w:val="single" w:color="auto"/>
          <w:color w:val="auto"/>
        </w:rPr>
        <w:t>(h)(A)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hereof, the “</w:t>
      </w:r>
      <w:r>
        <w:rPr>
          <w:rFonts w:ascii="Arial" w:cs="Arial" w:eastAsia="Arial" w:hAnsi="Arial"/>
          <w:sz w:val="19"/>
          <w:szCs w:val="19"/>
          <w:b w:val="1"/>
          <w:bCs w:val="1"/>
          <w:color w:val="auto"/>
        </w:rPr>
        <w:t>Unrestricted</w:t>
      </w:r>
      <w:r>
        <w:rPr>
          <w:rFonts w:ascii="Arial" w:cs="Arial" w:eastAsia="Arial" w:hAnsi="Arial"/>
          <w:sz w:val="19"/>
          <w:szCs w:val="19"/>
          <w:color w:val="auto"/>
        </w:rPr>
        <w:t xml:space="preserve"> </w:t>
      </w:r>
      <w:r>
        <w:rPr>
          <w:rFonts w:ascii="Arial" w:cs="Arial" w:eastAsia="Arial" w:hAnsi="Arial"/>
          <w:sz w:val="19"/>
          <w:szCs w:val="19"/>
          <w:b w:val="1"/>
          <w:bCs w:val="1"/>
          <w:color w:val="auto"/>
        </w:rPr>
        <w:t>Accounts</w:t>
      </w:r>
      <w:r>
        <w:rPr>
          <w:rFonts w:ascii="Arial" w:cs="Arial" w:eastAsia="Arial" w:hAnsi="Arial"/>
          <w:sz w:val="19"/>
          <w:szCs w:val="19"/>
          <w:color w:val="auto"/>
        </w:rPr>
        <w:t>”); (l) commercial tort claims in an amount not exceeding $2,500,000 individually; (i) assets to the extent a security</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in such assets could reasonably be expected to result in adverse tax consequences as determined in good faith by the Borrower; (j) those assets or Equity Interests as to which the Administrative Agent and the Borrower reasonably agree that the costs or other consequence (including any adverse tax consequence) of obtaining or perfecting such a security interest or perfection thereof are excessive in relation to the value of the security to be afforded thereby and (k) Excluded Securities.</w:t>
      </w:r>
    </w:p>
    <w:p>
      <w:pPr>
        <w:spacing w:after="0" w:line="1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Securities</w:t>
      </w:r>
      <w:r>
        <w:rPr>
          <w:rFonts w:ascii="Arial" w:cs="Arial" w:eastAsia="Arial" w:hAnsi="Arial"/>
          <w:sz w:val="21"/>
          <w:szCs w:val="21"/>
          <w:color w:val="auto"/>
        </w:rPr>
        <w:t>” means (a) voting Equity Interests of any CFC or any CFC Holdco (except to the extent such CFC is a Foreign Guarantor) in excess of 65% of the outstanding voting Equity Interests of such Subsidiary, (b) any Equity Interests or Indebtedness to the extent and for so long as the pledge thereof would be prohibited by any applicable law after giving effect to the applicable anti-assignment provisions of Article 9 of the Uniform Commercial Code, (c) any Equity Interests in any person that is not a wholly-owned Subsidiary, (d) any Equity Interests in any Excluded Subsidiary (other than any Excluded Subsidiary as defined in clauses (b), (c), (d), (g) (except to the extent the assumed Indebtedness prohibits the Equity Interests in such Subsidiary from being pledged) and (i) (unless the Equity Interests in such Subsidiary are otherwise excluded pursuant to this definition of “Excluded Securities”) in the definition thereof), (e) any margin stock (as defined in Regulation U and Regulation X of the Board of Governors of the Federal Reserve System) and (f) Equity Interests of the Borrower that are not owned by the Parent.</w:t>
      </w:r>
    </w:p>
    <w:p>
      <w:pPr>
        <w:spacing w:after="0" w:line="152"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Subsidiary</w:t>
      </w:r>
      <w:r>
        <w:rPr>
          <w:rFonts w:ascii="Arial" w:cs="Arial" w:eastAsia="Arial" w:hAnsi="Arial"/>
          <w:sz w:val="19"/>
          <w:szCs w:val="19"/>
          <w:color w:val="auto"/>
        </w:rPr>
        <w:t>” means (a) each Subsidiary that is not a direct or indirect wholly-owned Subsidiary of the Borrower, (b) each Immaterial Subsidiary, (c) any Subsidiary that is a “controlled foreign corporation” within the meaning of the Code (a “</w:t>
      </w:r>
      <w:r>
        <w:rPr>
          <w:rFonts w:ascii="Arial" w:cs="Arial" w:eastAsia="Arial" w:hAnsi="Arial"/>
          <w:sz w:val="19"/>
          <w:szCs w:val="19"/>
          <w:b w:val="1"/>
          <w:bCs w:val="1"/>
          <w:color w:val="auto"/>
        </w:rPr>
        <w:t>CFC</w:t>
      </w:r>
      <w:r>
        <w:rPr>
          <w:rFonts w:ascii="Arial" w:cs="Arial" w:eastAsia="Arial" w:hAnsi="Arial"/>
          <w:sz w:val="19"/>
          <w:szCs w:val="19"/>
          <w:color w:val="auto"/>
        </w:rPr>
        <w:t>”) except if such CFC is otherwise a Foreign Guarantor hereunder as elected by the Borrower, (d) any Subsidiary substantially all the assets of which consist of Equity Interests (or Equity Interests and Indebtedness) of one or more CFCs (a “</w:t>
      </w:r>
      <w:r>
        <w:rPr>
          <w:rFonts w:ascii="Arial" w:cs="Arial" w:eastAsia="Arial" w:hAnsi="Arial"/>
          <w:sz w:val="19"/>
          <w:szCs w:val="19"/>
          <w:b w:val="1"/>
          <w:bCs w:val="1"/>
          <w:color w:val="auto"/>
        </w:rPr>
        <w:t>CFC Holdco</w:t>
      </w:r>
      <w:r>
        <w:rPr>
          <w:rFonts w:ascii="Arial" w:cs="Arial" w:eastAsia="Arial" w:hAnsi="Arial"/>
          <w:sz w:val="19"/>
          <w:szCs w:val="19"/>
          <w:color w:val="auto"/>
        </w:rPr>
        <w:t xml:space="preserve">”) or other CFC Holdcos, (e) any Subsidiary of a CFC, (f) any Subsidiary that is prohibited by Law, regulation or contractual obligation existing on the Effective Date or on the date such entity becomes a Subsidiary after the Effective Date (so long as such prohibition did not arise in contemplation of such entity becoming a subsidiary) from providing the Guaranty or that would require a an approval of a Governmental Authority or third party (pursuant to a contractual obligation) consent, approval, license or authorization in order to grant such Guaranty that has not been obtained, (g) any Subsidiary acquired pursuant to a permitted Investment financed with Indebtedness permitted to be assumed pursuant to the Loan Documents and any Subsidiary thereof that Guarantees such Indebtedness, in each case to the extent such Indebtedness prohibits such Subsidiary from becoming a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not created in contemplation of or in connection with such permitted Investment or such Person becoming a Subsidiary, (h) any Special Purpose Subsidiary, and (i) each Subsidiary as to which the Administrative Agent and the Borrower reasonably agree that the costs or other consequence (including any adverse tax consequence) of obtaining a guaranty therefrom are excessive in relation to the value to be afforded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in each case of the foregoing that, if the Borrower has elected to cause a Subsidiary that would otherwise constitute an Excluded Subsidiary to become a Foreign Guarantor hereunder, such Foreign Guarantor shall not be an Excluded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any Person that is or that becomes (i) a Foreign Guarantor, shall not, except as a result of any Change in Law that could reasonably be expected to result in adverse tax consequences (as reasonably determined by the Borrower in consultation with the Administrative Agent), at any time thereafter be designated as or deemed an Excluded Subsidiary or (ii)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1" w:right="339" w:bottom="1440" w:gutter="0" w:footer="0" w:header="0"/>
        </w:sectPr>
      </w:pPr>
    </w:p>
    <w:bookmarkStart w:id="107" w:name="page108"/>
    <w:bookmarkEnd w:id="107"/>
    <w:p>
      <w:pPr>
        <w:jc w:val="both"/>
        <w:spacing w:after="0" w:line="221" w:lineRule="auto"/>
        <w:rPr>
          <w:sz w:val="20"/>
          <w:szCs w:val="20"/>
          <w:color w:val="auto"/>
        </w:rPr>
      </w:pPr>
      <w:r>
        <w:rPr>
          <w:rFonts w:ascii="Arial" w:cs="Arial" w:eastAsia="Arial" w:hAnsi="Arial"/>
          <w:sz w:val="21"/>
          <w:szCs w:val="21"/>
          <w:color w:val="auto"/>
        </w:rPr>
        <w:t xml:space="preserve">Guarantor (other than a Foreign Guarantor), shall not, except to the extent such Guarantor, at any time, is determined by the Borrower and notified to the Administrative Agent to be an “Excluded Subsidiary” pursuant to clauses (a), (b), (d), (e) and (i) above or as a result of any Change in Law that could reasonably be expected to result in adverse tax consequences (as reasonably determined by the Borrower in consultation with the Administrative Agent), at any time thereafter be designated as or deemed an Excluded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further that, to the extent a Guarantor is determined to be an Excluded Subsidiary pursuant to the proviso set forth immediately above, at the time of such determination, all outstanding Investments which prior thereto were made by a Loan Party in such Subsidiary shall be deemed to have been made in an Excluded Subsidiary for the purposes of </w:t>
      </w:r>
      <w:r>
        <w:rPr>
          <w:rFonts w:ascii="Arial" w:cs="Arial" w:eastAsia="Arial" w:hAnsi="Arial"/>
          <w:sz w:val="21"/>
          <w:szCs w:val="21"/>
          <w:u w:val="single" w:color="auto"/>
          <w:color w:val="auto"/>
        </w:rPr>
        <w:t>Section 6.04</w:t>
      </w:r>
      <w:r>
        <w:rPr>
          <w:rFonts w:ascii="Arial" w:cs="Arial" w:eastAsia="Arial" w:hAnsi="Arial"/>
          <w:sz w:val="21"/>
          <w:szCs w:val="21"/>
          <w:color w:val="auto"/>
        </w:rPr>
        <w:t>.</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Swap Obligation</w:t>
      </w:r>
      <w:r>
        <w:rPr>
          <w:rFonts w:ascii="Arial" w:cs="Arial" w:eastAsia="Arial" w:hAnsi="Arial"/>
          <w:sz w:val="21"/>
          <w:szCs w:val="21"/>
          <w:color w:val="auto"/>
        </w:rPr>
        <w:t>” with respect to any Guarantor, (a) any Swap Agreement Obligation if, and to the extent that, and only for so long as, all or a portion of the guarantee of such Guarantor of, or the grant by such Guarantor of a security interest to secure, as applicable, such Swap Agreement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Agreement Obligation. If a Swap Agreement Obligation arises under a master agreement governing more than one Swap Agreement, such exclusion shall apply only to the portion of such Swap Agreement Obligation that is attributable to Swaps for which such guarantee or security interest is or becomes illegal.</w:t>
      </w:r>
    </w:p>
    <w:p>
      <w:pPr>
        <w:spacing w:after="0" w:line="1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xml:space="preserve">” means, with respect to the Administrative Agent, any Issuing Bank, any Lender or any other recipient of any payment to be made by or on account of any obligation of the Parent or the Borrower, as applicable, hereunder, (a) Taxes imposed on (or measured by) its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otherwise are Other Connection Taxes, (b) in the case of a Lender, any U.S. federal withholding Tax that is imposed on amounts payable to such Lender at the time such Lender becomes a party to this Agreement (other than pursuant to an assignment request by Borrower under </w:t>
      </w:r>
      <w:r>
        <w:rPr>
          <w:rFonts w:ascii="Arial" w:cs="Arial" w:eastAsia="Arial" w:hAnsi="Arial"/>
          <w:sz w:val="19"/>
          <w:szCs w:val="19"/>
          <w:u w:val="single" w:color="auto"/>
          <w:color w:val="auto"/>
        </w:rPr>
        <w:t>Section 2.16(b)</w:t>
      </w:r>
      <w:r>
        <w:rPr>
          <w:rFonts w:ascii="Arial" w:cs="Arial" w:eastAsia="Arial" w:hAnsi="Arial"/>
          <w:sz w:val="19"/>
          <w:szCs w:val="19"/>
          <w:color w:val="auto"/>
        </w:rPr>
        <w:t xml:space="preserve">) or designates a new lending office, except to the extent that such Lender (or its assignor, if any) was entitled, at the time of designation of a new lending office or assignment, to receive additional amounts from the Borrower with respect to such withholding tax pursuant to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(c) Taxes attributable to such recipient’s failure to comply with </w:t>
      </w:r>
      <w:r>
        <w:rPr>
          <w:rFonts w:ascii="Arial" w:cs="Arial" w:eastAsia="Arial" w:hAnsi="Arial"/>
          <w:sz w:val="19"/>
          <w:szCs w:val="19"/>
          <w:u w:val="single" w:color="auto"/>
          <w:color w:val="auto"/>
        </w:rPr>
        <w:t>Section 2.14(f)</w:t>
      </w:r>
      <w:r>
        <w:rPr>
          <w:rFonts w:ascii="Arial" w:cs="Arial" w:eastAsia="Arial" w:hAnsi="Arial"/>
          <w:sz w:val="19"/>
          <w:szCs w:val="19"/>
          <w:color w:val="auto"/>
        </w:rPr>
        <w:t>, (d) any withholding Taxes imposed under FATCA, (e) any Taxes imposed by Germany solely due to the fact that the Loans are secured by real estate located in Germany (inländischer Grundbesitz) or by German rights subject to the civil code provisions relating to real estate (inländische Rechte, die den Vorschriften des bürgerlichen Rechts über Grundstücke unterliegen) (including any withholding requested by the German tax authorities pursuant to Sec. 50a para. 7 German Income Tax Act) and (f) any Taxes which are imposed solely because the payment is made with respect to a Lender incorporated, having its place of effective management, or acting through a lending office or office, as the case may be, located in a Non-Cooperative Jurisdiction,</w:t>
      </w:r>
    </w:p>
    <w:p>
      <w:pPr>
        <w:spacing w:after="0" w:line="1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withholding required on account of the payee receiving a direction under section 255 of the Australian Taxation Act or section</w:t>
      </w:r>
    </w:p>
    <w:p>
      <w:pPr>
        <w:jc w:val="both"/>
        <w:spacing w:after="0" w:line="214" w:lineRule="auto"/>
        <w:rPr>
          <w:rFonts w:ascii="Arial" w:cs="Arial" w:eastAsia="Arial" w:hAnsi="Arial"/>
          <w:sz w:val="19"/>
          <w:szCs w:val="19"/>
          <w:color w:val="auto"/>
        </w:rPr>
      </w:pPr>
      <w:r>
        <w:rPr>
          <w:rFonts w:ascii="Arial" w:cs="Arial" w:eastAsia="Arial" w:hAnsi="Arial"/>
          <w:sz w:val="22"/>
          <w:szCs w:val="22"/>
          <w:color w:val="auto"/>
        </w:rPr>
        <w:t>260-5 of Schedule 1 of the Taxation Administration Act 1953 (Cth), (h) Taxes imposed because the payee has not received written notice of that recipient's tax file number or Australian business number or evidence of any exemption that recipient may have from the need to advise its tax file number or Australian business number; and (i) any Indirect Tax (which, for the avoidance of doubt, shall be handled in accordance with clause 2.14(i)).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Order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3.15(a)(i)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or any published intergovernmental agreement and any fiscal or regulatory legislation, rules or official practices adopted pursuant to any published intergovernmental agreement entered into in connection with the implementation of such Sections of the Code.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b w:val="1"/>
          <w:bCs w:val="1"/>
          <w:color w:val="FF0000"/>
          <w:strike w:val="1"/>
        </w:rPr>
        <w:t>FCA</w:t>
      </w:r>
      <w:r>
        <w:rPr>
          <w:rFonts w:ascii="Arial" w:cs="Arial" w:eastAsia="Arial" w:hAnsi="Arial"/>
          <w:sz w:val="22"/>
          <w:szCs w:val="22"/>
          <w:color w:val="008000"/>
          <w:strike w:val="1"/>
        </w:rPr>
        <w:t>” has the meaning assigned to</w:t>
      </w:r>
      <w:r>
        <w:rPr>
          <w:rFonts w:ascii="Arial" w:cs="Arial" w:eastAsia="Arial" w:hAnsi="Arial"/>
          <w:sz w:val="22"/>
          <w:szCs w:val="22"/>
          <w:color w:val="FF0000"/>
          <w:strike w:val="1"/>
        </w:rPr>
        <w:t xml:space="preserve"> such term in </w:t>
      </w:r>
      <w:r>
        <w:rPr>
          <w:rFonts w:ascii="Arial" w:cs="Arial" w:eastAsia="Arial" w:hAnsi="Arial"/>
          <w:sz w:val="22"/>
          <w:szCs w:val="22"/>
          <w:u w:val="single" w:color="auto"/>
          <w:color w:val="FF0000"/>
          <w:strike w:val="1"/>
        </w:rPr>
        <w:t>Section 1.05</w:t>
      </w: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Effective Rate</w:t>
      </w:r>
      <w:r>
        <w:rPr>
          <w:rFonts w:ascii="Arial" w:cs="Arial" w:eastAsia="Arial" w:hAnsi="Arial"/>
          <w:sz w:val="19"/>
          <w:szCs w:val="19"/>
          <w:color w:val="auto"/>
        </w:rPr>
        <w:t xml:space="preserve"> ”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shall be less than zero, such rate shall be deemed to zero for the purposes of this Agreement.</w:t>
      </w:r>
    </w:p>
    <w:p>
      <w:pPr>
        <w:spacing w:after="0" w:line="13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 Letter</w:t>
      </w:r>
      <w:r>
        <w:rPr>
          <w:rFonts w:ascii="Arial" w:cs="Arial" w:eastAsia="Arial" w:hAnsi="Arial"/>
          <w:sz w:val="22"/>
          <w:szCs w:val="22"/>
          <w:color w:val="auto"/>
        </w:rPr>
        <w:t>” means that certain Fee Letter, dated as of November 1, 2021, by and among the Borrower and the Administrative Agent.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Officer</w:t>
      </w:r>
      <w:r>
        <w:rPr>
          <w:rFonts w:ascii="Arial" w:cs="Arial" w:eastAsia="Arial" w:hAnsi="Arial"/>
          <w:sz w:val="22"/>
          <w:szCs w:val="22"/>
          <w:color w:val="auto"/>
        </w:rPr>
        <w:t>” means the chief financial officer, principal accounting officer, treasurer, vice president of finance or corporate controller of the Borrower.</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Floor</w:t>
      </w:r>
      <w:r>
        <w:rPr>
          <w:rFonts w:ascii="Arial" w:cs="Arial" w:eastAsia="Arial" w:hAnsi="Arial"/>
          <w:sz w:val="22"/>
          <w:szCs w:val="22"/>
          <w:color w:val="auto"/>
        </w:rPr>
        <w:t xml:space="preserve">” means the benchmark rate floor, if any, provided in this Agreement initially (as of the execution of this Agreement, the modification, amendment or renewal of this Agreement or otherwise) with respect to </w:t>
      </w:r>
      <w:r>
        <w:rPr>
          <w:rFonts w:ascii="Arial" w:cs="Arial" w:eastAsia="Arial" w:hAnsi="Arial"/>
          <w:sz w:val="22"/>
          <w:szCs w:val="22"/>
          <w:color w:val="FF0000"/>
          <w:strike w:val="1"/>
        </w:rPr>
        <w:t>LIBO</w:t>
      </w:r>
      <w:r>
        <w:rPr>
          <w:rFonts w:ascii="Arial" w:cs="Arial" w:eastAsia="Arial" w:hAnsi="Arial"/>
          <w:sz w:val="22"/>
          <w:szCs w:val="22"/>
          <w:u w:val="single" w:color="auto"/>
          <w:color w:val="0000FF"/>
        </w:rPr>
        <w:t>the Adjusted Term</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0000FF"/>
        </w:rPr>
        <w:t xml:space="preserve"> </w:t>
      </w:r>
      <w:r>
        <w:rPr>
          <w:rFonts w:ascii="Arial" w:cs="Arial" w:eastAsia="Arial" w:hAnsi="Arial"/>
          <w:sz w:val="22"/>
          <w:szCs w:val="22"/>
          <w:color w:val="000000"/>
        </w:rPr>
        <w:t>Rate, EURIBOR Rate, AUD Rate or Daily Simple RFR, as applicable.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Fluence Energy Philippines</w:t>
      </w:r>
      <w:r>
        <w:rPr>
          <w:rFonts w:ascii="Arial" w:cs="Arial" w:eastAsia="Arial" w:hAnsi="Arial"/>
          <w:sz w:val="22"/>
          <w:szCs w:val="22"/>
          <w:color w:val="auto"/>
        </w:rPr>
        <w:t>” means Fluence Energy, Inc. a corporation organized under the laws of the Philippines, with company registration no. CS201909440.</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Fluence Energy Philippines Guaranty</w:t>
      </w:r>
      <w:r>
        <w:rPr>
          <w:rFonts w:ascii="Arial" w:cs="Arial" w:eastAsia="Arial" w:hAnsi="Arial"/>
          <w:sz w:val="22"/>
          <w:szCs w:val="22"/>
          <w:color w:val="auto"/>
        </w:rPr>
        <w:t xml:space="preserve">” means each guaranty agreement to be executed by a Philippine Guarantor in favor of the Administrative Agent governed or expressed to be governed by the laws of New York, which agreements shall be granted in accordance with </w:t>
      </w: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and the other provisions of this Agreement, in each case, as may be amended, restated, supplemented, or otherwise modified from time to time.</w:t>
      </w:r>
    </w:p>
    <w:p>
      <w:pPr>
        <w:spacing w:after="0" w:line="15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Guarantor</w:t>
      </w:r>
      <w:r>
        <w:rPr>
          <w:rFonts w:ascii="Arial" w:cs="Arial" w:eastAsia="Arial" w:hAnsi="Arial"/>
          <w:sz w:val="21"/>
          <w:szCs w:val="21"/>
          <w:color w:val="auto"/>
        </w:rPr>
        <w:t>” means each Subsidiary of the Parent that is organized under the laws of a jurisdiction other than the United States (or any State thereof) and has been designated by the Borrower, in writing to the Administrative Agent, as a “Foreign Guarantor” hereunder. As of the Effective Date, the Foreign Guarantors shall constitute Fluence Energy GmbH, a German corporation and Fluence Energy Pty Ltd. (ACN 627 071 461), an Australian corporation.</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Lender</w:t>
      </w:r>
      <w:r>
        <w:rPr>
          <w:rFonts w:ascii="Arial" w:cs="Arial" w:eastAsia="Arial" w:hAnsi="Arial"/>
          <w:sz w:val="22"/>
          <w:szCs w:val="22"/>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Security Agreement</w:t>
      </w:r>
      <w:r>
        <w:rPr>
          <w:rFonts w:ascii="Arial" w:cs="Arial" w:eastAsia="Arial" w:hAnsi="Arial"/>
          <w:sz w:val="22"/>
          <w:szCs w:val="22"/>
          <w:color w:val="auto"/>
        </w:rPr>
        <w:t xml:space="preserve">” means each of the agreements set forth on </w:t>
      </w:r>
      <w:r>
        <w:rPr>
          <w:rFonts w:ascii="Arial" w:cs="Arial" w:eastAsia="Arial" w:hAnsi="Arial"/>
          <w:sz w:val="22"/>
          <w:szCs w:val="22"/>
          <w:u w:val="single" w:color="auto"/>
          <w:color w:val="auto"/>
        </w:rPr>
        <w:t>Schedule 4.01(b)</w:t>
      </w:r>
      <w:r>
        <w:rPr>
          <w:rFonts w:ascii="Arial" w:cs="Arial" w:eastAsia="Arial" w:hAnsi="Arial"/>
          <w:sz w:val="22"/>
          <w:szCs w:val="22"/>
          <w:color w:val="auto"/>
        </w:rPr>
        <w:t>, including the German Security Documents, the Australian Collateral Agreements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395" w:right="339" w:bottom="1440" w:gutter="0" w:footer="0" w:header="0"/>
        </w:sectPr>
      </w:pPr>
    </w:p>
    <w:bookmarkStart w:id="109" w:name="page110"/>
    <w:bookmarkEnd w:id="109"/>
    <w:p>
      <w:pPr>
        <w:jc w:val="both"/>
        <w:spacing w:after="0" w:line="232" w:lineRule="auto"/>
        <w:rPr>
          <w:sz w:val="20"/>
          <w:szCs w:val="20"/>
          <w:color w:val="auto"/>
        </w:rPr>
      </w:pPr>
      <w:r>
        <w:rPr>
          <w:rFonts w:ascii="Arial" w:cs="Arial" w:eastAsia="Arial" w:hAnsi="Arial"/>
          <w:sz w:val="22"/>
          <w:szCs w:val="22"/>
          <w:color w:val="auto"/>
        </w:rPr>
        <w:t xml:space="preserve">otherwise entered into from time to time by any Foreign Guarantor in accordance with </w:t>
      </w: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and the Agreed Securities Principles.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Fronting Exposure</w:t>
      </w:r>
      <w:r>
        <w:rPr>
          <w:rFonts w:ascii="Arial" w:cs="Arial" w:eastAsia="Arial" w:hAnsi="Arial"/>
          <w:sz w:val="22"/>
          <w:szCs w:val="22"/>
          <w:color w:val="auto"/>
        </w:rPr>
        <w:t>” means, at any time there is a Defaulting Lender, with respect to any Issuing Bank, such Defaulting Lender’s Applicable Percentage of the outstanding Obligations with respect to Letters of Credit issued by such Issuing Bank other than such Obligations as to which such Defaulting Lender’s participation obligation has been reallocated to other Lenders or Cash Collateralized in accordance with the terms hereof.</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 of America, as set forth in the Accounting Standards Codification of the Financial Accounting Standards Board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Guarantor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GmbH &amp; Co. KG Guarantor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GmbH Guarantor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Security</w:t>
      </w:r>
      <w:r>
        <w:rPr>
          <w:rFonts w:ascii="Arial" w:cs="Arial" w:eastAsia="Arial" w:hAnsi="Arial"/>
          <w:sz w:val="22"/>
          <w:szCs w:val="22"/>
          <w:color w:val="auto"/>
        </w:rPr>
        <w:t>” means any security interest created under the German Security Documents.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Security Document</w:t>
      </w:r>
      <w:r>
        <w:rPr>
          <w:rFonts w:ascii="Arial" w:cs="Arial" w:eastAsia="Arial" w:hAnsi="Arial"/>
          <w:sz w:val="22"/>
          <w:szCs w:val="22"/>
          <w:color w:val="auto"/>
        </w:rPr>
        <w:t>” means any Security Document which is governed by German law.</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xml:space="preserve"> ”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of or by any Person (the “guarantor”) means any obligation, contingent or otherwise, of the guarantor guaranteeing or having the economic effect of guaranteeing any Indebtedness or other obligation of any other Person (the “</w:t>
      </w:r>
      <w:r>
        <w:rPr>
          <w:rFonts w:ascii="Arial" w:cs="Arial" w:eastAsia="Arial" w:hAnsi="Arial"/>
          <w:sz w:val="19"/>
          <w:szCs w:val="19"/>
          <w:b w:val="1"/>
          <w:bCs w:val="1"/>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w:t>
      </w:r>
      <w:r>
        <w:rPr>
          <w:rFonts w:ascii="Arial" w:cs="Arial" w:eastAsia="Arial" w:hAnsi="Arial"/>
          <w:sz w:val="22"/>
          <w:szCs w:val="22"/>
          <w:color w:val="auto"/>
        </w:rPr>
        <w:t xml:space="preserve">” means any Subsidiary (not including an Excluded Subsidiary) of the Parent party hereto or that has executed a guaranty supplement pursuant to </w:t>
      </w: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9.07</w:t>
      </w:r>
      <w:r>
        <w:rPr>
          <w:rFonts w:ascii="Arial" w:cs="Arial" w:eastAsia="Arial" w:hAnsi="Arial"/>
          <w:sz w:val="22"/>
          <w:szCs w:val="22"/>
          <w:color w:val="auto"/>
        </w:rPr>
        <w:t>, the Parent and, other than with respect to its own Obligations,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Guaranty</w:t>
      </w:r>
      <w:r>
        <w:rPr>
          <w:rFonts w:ascii="Arial" w:cs="Arial" w:eastAsia="Arial" w:hAnsi="Arial"/>
          <w:sz w:val="22"/>
          <w:szCs w:val="22"/>
          <w:color w:val="auto"/>
        </w:rPr>
        <w:t xml:space="preserve">” means the guaranty and other provisions in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Guaranty Subordinated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9.02(b)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spacing w:after="0" w:line="124"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Immaterial Subsidiary</w:t>
      </w:r>
      <w:r>
        <w:rPr>
          <w:rFonts w:ascii="Arial" w:cs="Arial" w:eastAsia="Arial" w:hAnsi="Arial"/>
          <w:sz w:val="22"/>
          <w:szCs w:val="22"/>
          <w:color w:val="auto"/>
        </w:rPr>
        <w:t xml:space="preserve">” means any Subsidiary that (a) did not, as of the last day of the fiscal quarter of the Borrower most recently ended for which financials have been delivered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have (i) total assets with a value in excess of 5% of the Total Assets, or (ii) revenues representing in excess of 5% of the Total Revenues, for the four fiscal quarters ended as of such date and (b) taken together with all Immaterial Subsidiaries as of the last day of the fiscal quarter of the Borrower most recently ended for which financials have been delivered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did not have (i) total assets with a value in excess of 10% of the Total Assets, or (ii) revenues representing in excess of 10% of the Total Revenues for the four fiscal quarters ended as of such date. Each Immaterial Subsidiary as of the Effective Date shall be set forth in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3.13</w:t>
      </w:r>
      <w:r>
        <w:rPr>
          <w:rFonts w:ascii="Arial" w:cs="Arial" w:eastAsia="Arial" w:hAnsi="Arial"/>
          <w:sz w:val="22"/>
          <w:szCs w:val="22"/>
          <w:color w:val="auto"/>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Impacted AUD Interest Period</w:t>
      </w:r>
      <w:r>
        <w:rPr>
          <w:rFonts w:ascii="Arial" w:cs="Arial" w:eastAsia="Arial" w:hAnsi="Arial"/>
          <w:sz w:val="22"/>
          <w:szCs w:val="22"/>
          <w:color w:val="auto"/>
        </w:rPr>
        <w:t>” has the meaning assigned to such term in the definition of “AUD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Impacted EURIBOR Rate Interest Period</w:t>
      </w:r>
      <w:r>
        <w:rPr>
          <w:rFonts w:ascii="Arial" w:cs="Arial" w:eastAsia="Arial" w:hAnsi="Arial"/>
          <w:sz w:val="19"/>
          <w:szCs w:val="19"/>
          <w:color w:val="auto"/>
        </w:rPr>
        <w:t>” has the meaning assigned to such term in the definition of “EURIBOR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b w:val="1"/>
          <w:bCs w:val="1"/>
          <w:color w:val="FF0000"/>
          <w:strike w:val="1"/>
        </w:rPr>
        <w:t>Impacted LIBO Rate Interest Period</w:t>
      </w:r>
      <w:r>
        <w:rPr>
          <w:rFonts w:ascii="Arial" w:cs="Arial" w:eastAsia="Arial" w:hAnsi="Arial"/>
          <w:sz w:val="22"/>
          <w:szCs w:val="22"/>
          <w:color w:val="FF0000"/>
          <w:strike w:val="1"/>
        </w:rPr>
        <w:t>” has the meaning set forth in the definition of “LIBO Rate”.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Amount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Amount</w:t>
      </w:r>
      <w:r>
        <w:rPr>
          <w:rFonts w:ascii="Arial" w:cs="Arial" w:eastAsia="Arial" w:hAnsi="Arial"/>
          <w:sz w:val="22"/>
          <w:szCs w:val="22"/>
          <w:color w:val="auto"/>
        </w:rPr>
        <w:t>” means $60,000,000.</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of any Person at any date means, without duplication, (a) all indebtedness of such Person for borrowed money, (b) all obligations of such Person for the deferred purchase price of property or services to the extent required to be included as a liability on the balance sheet of such Person at such time in accordance with GAAP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any earn-out obligation to the extent such obligation is (or is required to be) listed as a liability on the balance sheet of such Person in accordance with GAAP, has not been paid when due and is not disputed in good faith, (g) all obligations of such Person, contingent or otherwise, as an account party or applicant under or in respect of bankers’ acceptances, letters of credit, surety bonds or similar arrangements, (h) all Guarantees of such Person in respect of obligations of the kind referred to in clauses (a) through (g) above, and (i) all obligations of the kind referred to in clauses (a) through (h)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(other than Liens granted on Equity Interests of an Excluded Subsidiary to secure obligations of such Excluded Subsidiary and its Subsidiaries).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395" w:right="339" w:bottom="1440" w:gutter="0" w:footer="0" w:header="0"/>
        </w:sectPr>
      </w:pPr>
    </w:p>
    <w:bookmarkStart w:id="111" w:name="page112"/>
    <w:bookmarkEnd w:id="111"/>
    <w:p>
      <w:pPr>
        <w:jc w:val="both"/>
        <w:spacing w:after="0" w:line="218" w:lineRule="auto"/>
        <w:rPr>
          <w:sz w:val="20"/>
          <w:szCs w:val="20"/>
          <w:color w:val="auto"/>
        </w:rPr>
      </w:pPr>
      <w:r>
        <w:rPr>
          <w:rFonts w:ascii="Arial" w:cs="Arial" w:eastAsia="Arial" w:hAnsi="Arial"/>
          <w:sz w:val="22"/>
          <w:szCs w:val="22"/>
          <w:color w:val="auto"/>
        </w:rPr>
        <w:t>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10.03(b)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Indirect Tax</w:t>
      </w:r>
      <w:r>
        <w:rPr>
          <w:rFonts w:ascii="Arial" w:cs="Arial" w:eastAsia="Arial" w:hAnsi="Arial"/>
          <w:sz w:val="22"/>
          <w:szCs w:val="22"/>
          <w:color w:val="auto"/>
        </w:rPr>
        <w:t>" means any goods and services tax (including Australian GST), consumption tax, value added tax or any tax of a similar nature imposed by any Governmental Authority, including any interest, additions to indirect tax and penalties applicable thereto.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has the meaning set forth in the Security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Coverage Ratio</w:t>
      </w:r>
      <w:r>
        <w:rPr>
          <w:rFonts w:ascii="Arial" w:cs="Arial" w:eastAsia="Arial" w:hAnsi="Arial"/>
          <w:sz w:val="22"/>
          <w:szCs w:val="22"/>
          <w:color w:val="auto"/>
        </w:rPr>
        <w:t>” means, for any Measurement Period, the ratio of (a) Consolidated EBITDA to (b) Interest Expense (excluding any Interest Expense attributable to the Parent Convertible Notes) of the Parent and its Subsidiaries for such period.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Election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2.05(b)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Expense</w:t>
      </w:r>
      <w:r>
        <w:rPr>
          <w:rFonts w:ascii="Arial" w:cs="Arial" w:eastAsia="Arial" w:hAnsi="Arial"/>
          <w:sz w:val="19"/>
          <w:szCs w:val="19"/>
          <w:color w:val="auto"/>
        </w:rPr>
        <w:t xml:space="preserve"> ” means, with reference to any period, total cash interest expense (including that attributable to Capital Lease Obligations) of the Parent and its Subsidiaries for such period with respect to all outstanding Indebtedness of the Parent and its Subsidiaries (including all net payments and receipts (if any) under Swap Agreements in respect of interest rates to the extent such net payments and receipts are made in cash in such period and allocable to such period in accordance with GAAP), calculated on a consolidated basis for the Parent and its Subsidiaries for such period in accordance with GAAP.</w:t>
      </w:r>
    </w:p>
    <w:p>
      <w:pPr>
        <w:spacing w:after="0" w:line="14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Payment Date</w:t>
      </w:r>
      <w:r>
        <w:rPr>
          <w:rFonts w:ascii="Arial" w:cs="Arial" w:eastAsia="Arial" w:hAnsi="Arial"/>
          <w:sz w:val="19"/>
          <w:szCs w:val="19"/>
          <w:color w:val="auto"/>
        </w:rPr>
        <w:t>” means (a) with respect to any ABR Loan, the last Business Day of each March, June, September and December, (b) with respect to any RFR Loan, (1) the last Business Day of each March, June, September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December; and (2) the Maturity Date and (c) with respect to any Term Benchmark Loan, the last day of the Interest Period</w:t>
      </w:r>
    </w:p>
    <w:p>
      <w:pPr>
        <w:spacing w:after="0" w:line="11"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w:t>
      </w:r>
    </w:p>
    <w:p>
      <w:pPr>
        <w:spacing w:after="0" w:line="15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xml:space="preserve">” means, with respect to any Term Benchmark Borrowing, the period commencing on the date of such Borrowing and ending on the numerically corresponding day in the calendar month that is one, three or six months (or, with the consent of each Lender, twelve months or less than one month) thereafter, (in each case, subject to the availability for the Benchmark applicable to the relevant Loan or Commitment for any Agreed Currency) as the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3" w:lineRule="exact"/>
        <w:rPr>
          <w:sz w:val="20"/>
          <w:szCs w:val="20"/>
          <w:color w:val="auto"/>
        </w:rPr>
      </w:pPr>
    </w:p>
    <w:p>
      <w:pPr>
        <w:jc w:val="both"/>
        <w:ind w:firstLine="8"/>
        <w:spacing w:after="0" w:line="214" w:lineRule="auto"/>
        <w:tabs>
          <w:tab w:leader="none" w:pos="291"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Term Benchmark Borrowing that commences on the last Business Day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1" w:right="339" w:bottom="1440" w:gutter="0" w:footer="0" w:header="0"/>
        </w:sectPr>
      </w:pPr>
    </w:p>
    <w:bookmarkStart w:id="112" w:name="page113"/>
    <w:bookmarkEnd w:id="112"/>
    <w:p>
      <w:pPr>
        <w:jc w:val="both"/>
        <w:spacing w:after="0" w:line="218" w:lineRule="auto"/>
        <w:rPr>
          <w:sz w:val="20"/>
          <w:szCs w:val="20"/>
          <w:color w:val="auto"/>
        </w:rPr>
      </w:pPr>
      <w:r>
        <w:rPr>
          <w:rFonts w:ascii="Arial" w:cs="Arial" w:eastAsia="Arial" w:hAnsi="Arial"/>
          <w:sz w:val="22"/>
          <w:szCs w:val="22"/>
          <w:color w:val="auto"/>
        </w:rPr>
        <w:t>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Rate Determination Date</w:t>
      </w:r>
      <w:r>
        <w:rPr>
          <w:rFonts w:ascii="Arial" w:cs="Arial" w:eastAsia="Arial" w:hAnsi="Arial"/>
          <w:sz w:val="22"/>
          <w:szCs w:val="22"/>
          <w:color w:val="auto"/>
        </w:rPr>
        <w:t>” means, with respect to any Interest Period, the date that is two Business Days prior to the first day of such Interest Period.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a bona fide underwritten sale to the public of common stock of the Parent pursuant to a registration statement (other than on Form S-8 or any other form relating to securities issuable under any benefit plan of the Parent or any of its Subsidiaries, as the case may be) that is declared effective by the SEC.</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U.S. Internal Revenue Service.</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Issuing Bank</w:t>
      </w:r>
      <w:r>
        <w:rPr>
          <w:rFonts w:ascii="Arial" w:cs="Arial" w:eastAsia="Arial" w:hAnsi="Arial"/>
          <w:sz w:val="19"/>
          <w:szCs w:val="19"/>
          <w:color w:val="auto"/>
        </w:rPr>
        <w:t xml:space="preserve">” means, with respect to a particular Letter of Credit, (a) each of JPMorgan Chase Bank N.A., Morgan Stanley Senior Funding, Inc., Bank of America, N.A. and Barclays Bank PLC, each in its capacity as the issuer of such Letter of Credit, and its successors in such capacity as provided in </w:t>
      </w:r>
      <w:r>
        <w:rPr>
          <w:rFonts w:ascii="Arial" w:cs="Arial" w:eastAsia="Arial" w:hAnsi="Arial"/>
          <w:sz w:val="19"/>
          <w:szCs w:val="19"/>
          <w:u w:val="single" w:color="auto"/>
          <w:color w:val="auto"/>
        </w:rPr>
        <w:t>Section 2.19(j)</w:t>
      </w:r>
      <w:r>
        <w:rPr>
          <w:rFonts w:ascii="Arial" w:cs="Arial" w:eastAsia="Arial" w:hAnsi="Arial"/>
          <w:sz w:val="19"/>
          <w:szCs w:val="19"/>
          <w:color w:val="auto"/>
        </w:rPr>
        <w:t>, (b) such other Lender selected by the Borrower from time to time to issue such Letter of Credit hereunder upon receipt by the Administrative Agent of documentation in form and substance reasonably satisfactory to the Administrative Agent pursuant to which such Lender agrees to assume the rights and obligations of an Issuing bank hereunder (provided that no Lender shall be required to become an Issuing Bank pursuant to this subclause (b) without such Lender’s consent), and/or (c) any Lender selected by the Borrower (with the prior consent of the Administrative Agent (not to be unreasonably withheld, delayed or conditioned)) to replace a Lender who is a Defaulting Lender at the time of such Lender’s appointment as an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become an Issuing Bank pursuant to this subclause (c) without such Lender’s consent) or any successor in such capacity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2.19(j)</w:t>
      </w:r>
      <w:r>
        <w:rPr>
          <w:rFonts w:ascii="Arial" w:cs="Arial" w:eastAsia="Arial" w:hAnsi="Arial"/>
          <w:sz w:val="19"/>
          <w:szCs w:val="19"/>
          <w:color w:val="auto"/>
        </w:rPr>
        <w:t>. Any Issuing Bank may, in its reasonable discretion, arrange for one or more Letters of Credit to be issued by Affiliates or branches of such Issuing Bank, in which case the term “Issuing Bank” shall include any such Affiliate with respect to Letters of Credit issued by such Affiliate or branch.</w:t>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Joinder Agreement</w:t>
      </w:r>
      <w:r>
        <w:rPr>
          <w:rFonts w:ascii="Arial" w:cs="Arial" w:eastAsia="Arial" w:hAnsi="Arial"/>
          <w:sz w:val="19"/>
          <w:szCs w:val="19"/>
          <w:color w:val="auto"/>
        </w:rPr>
        <w:t>” means a joinder agreement in form and substance reasonably satisfactory to the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Commitment</w:t>
      </w:r>
      <w:r>
        <w:rPr>
          <w:rFonts w:ascii="Arial" w:cs="Arial" w:eastAsia="Arial" w:hAnsi="Arial"/>
          <w:sz w:val="22"/>
          <w:szCs w:val="22"/>
          <w:color w:val="auto"/>
        </w:rPr>
        <w:t xml:space="preserve">” means, with respect to any Issuing Bank, the amount set forth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opposite such Issuing Bank’s name under the caption “LC Commitment”.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Disbursement</w:t>
      </w:r>
      <w:r>
        <w:rPr>
          <w:rFonts w:ascii="Arial" w:cs="Arial" w:eastAsia="Arial" w:hAnsi="Arial"/>
          <w:sz w:val="22"/>
          <w:szCs w:val="22"/>
          <w:color w:val="auto"/>
        </w:rPr>
        <w:t>” means a payment made by an Issuing Bank pursuant to a Letter of Credit.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Exposure</w:t>
      </w:r>
      <w:r>
        <w:rPr>
          <w:rFonts w:ascii="Arial" w:cs="Arial" w:eastAsia="Arial" w:hAnsi="Arial"/>
          <w:sz w:val="22"/>
          <w:szCs w:val="22"/>
          <w:color w:val="auto"/>
        </w:rPr>
        <w:t xml:space="preserve">” means, at any time, the sum of (a) the aggregate undrawn amount of all outstanding Letters of Credit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of all LC Disbursements that have not yet been reimbursed by or on behalf of the Borrower at such time.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1"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Exposure of any Lender at any time shall be its Applicable Percentage of the total LC Exposure at such time.</w:t>
      </w:r>
    </w:p>
    <w:p>
      <w:pPr>
        <w:spacing w:after="0" w:line="17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Sublimit</w:t>
      </w:r>
      <w:r>
        <w:rPr>
          <w:rFonts w:ascii="Arial" w:cs="Arial" w:eastAsia="Arial" w:hAnsi="Arial"/>
          <w:sz w:val="22"/>
          <w:szCs w:val="22"/>
          <w:color w:val="auto"/>
        </w:rPr>
        <w:t xml:space="preserve">” means the lesser of (a) $200,000,000 and (b) the aggregate unused amount of the Commitments then in effect;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Issuing Bank shall be required to issue Letters of Credit in an aggregate amount outstanding at any time in excess of the LC Commitment of such Issuing Bank.</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xml:space="preserve">” means the Persons listed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w:t>
      </w:r>
    </w:p>
    <w:p>
      <w:pPr>
        <w:spacing w:after="0" w:line="1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Letter of Credit</w:t>
      </w:r>
      <w:r>
        <w:rPr>
          <w:rFonts w:ascii="Arial" w:cs="Arial" w:eastAsia="Arial" w:hAnsi="Arial"/>
          <w:sz w:val="22"/>
          <w:szCs w:val="22"/>
          <w:color w:val="auto"/>
        </w:rPr>
        <w:t>” means any letter of credit issued (or deemed to be issued) under and pursuant to this Agreement. A Letter of Credit may be issued in Dollars or in any Alternative Currency.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 of Credit Request</w:t>
      </w:r>
      <w:r>
        <w:rPr>
          <w:rFonts w:ascii="Arial" w:cs="Arial" w:eastAsia="Arial" w:hAnsi="Arial"/>
          <w:sz w:val="19"/>
          <w:szCs w:val="19"/>
          <w:color w:val="auto"/>
        </w:rPr>
        <w:t xml:space="preserve">” means a request by the Borrower for a Letter of Credit in accordance with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LIBO Interpolated Rate</w:t>
      </w:r>
      <w:r>
        <w:rPr>
          <w:rFonts w:ascii="Arial" w:cs="Arial" w:eastAsia="Arial" w:hAnsi="Arial"/>
          <w:sz w:val="19"/>
          <w:szCs w:val="19"/>
          <w:color w:val="FF0000"/>
          <w:strike w:val="1"/>
        </w:rPr>
        <w:t>” means, at any time with respect to any Term Benchmark Borrowing denominated in Dollars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w:t>
      </w:r>
      <w:r>
        <w:rPr>
          <w:rFonts w:ascii="Arial" w:cs="Arial" w:eastAsia="Arial" w:hAnsi="Arial"/>
          <w:sz w:val="19"/>
          <w:szCs w:val="19"/>
          <w:i w:val="1"/>
          <w:iCs w:val="1"/>
          <w:color w:val="FF0000"/>
          <w:strike w:val="1"/>
        </w:rPr>
        <w: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any LIBO Interpolated Rate shall be </w:t>
      </w:r>
      <w:r>
        <w:rPr>
          <w:rFonts w:ascii="Arial" w:cs="Arial" w:eastAsia="Arial" w:hAnsi="Arial"/>
          <w:sz w:val="19"/>
          <w:szCs w:val="19"/>
          <w:color w:val="008000"/>
          <w:strike w:val="1"/>
        </w:rPr>
        <w:t>less than 0.00%, such rate shall be deemed to be 0.00% for the purposes of this Agreement</w:t>
      </w:r>
      <w:r>
        <w:rPr>
          <w:rFonts w:ascii="Arial" w:cs="Arial" w:eastAsia="Arial" w:hAnsi="Arial"/>
          <w:sz w:val="19"/>
          <w:szCs w:val="19"/>
          <w:color w:val="FF0000"/>
          <w:strike w:val="1"/>
        </w:rPr>
        <w:t>.</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color w:val="FF0000"/>
          <w:strike w:val="1"/>
        </w:rPr>
        <w:t>LIBO</w:t>
      </w:r>
      <w:r>
        <w:rPr>
          <w:rFonts w:ascii="Arial" w:cs="Arial" w:eastAsia="Arial" w:hAnsi="Arial"/>
          <w:sz w:val="19"/>
          <w:szCs w:val="19"/>
          <w:color w:val="FF0000"/>
          <w:strike w:val="1"/>
        </w:rPr>
        <w:t xml:space="preserve"> </w:t>
      </w:r>
      <w:r>
        <w:rPr>
          <w:rFonts w:ascii="Arial" w:cs="Arial" w:eastAsia="Arial" w:hAnsi="Arial"/>
          <w:sz w:val="19"/>
          <w:szCs w:val="19"/>
          <w:b w:val="1"/>
          <w:bCs w:val="1"/>
          <w:color w:val="008000"/>
          <w:strike w:val="1"/>
        </w:rPr>
        <w:t>Rate</w:t>
      </w:r>
      <w:r>
        <w:rPr>
          <w:rFonts w:ascii="Arial" w:cs="Arial" w:eastAsia="Arial" w:hAnsi="Arial"/>
          <w:sz w:val="19"/>
          <w:szCs w:val="19"/>
          <w:color w:val="008000"/>
          <w:strike w:val="1"/>
        </w:rPr>
        <w:t>” means, with respect to any Term Benchmark Borrowing denominated in Dollars and for any</w:t>
      </w:r>
      <w:r>
        <w:rPr>
          <w:rFonts w:ascii="Arial" w:cs="Arial" w:eastAsia="Arial" w:hAnsi="Arial"/>
          <w:sz w:val="19"/>
          <w:szCs w:val="19"/>
          <w:color w:val="FF0000"/>
          <w:strike w:val="1"/>
        </w:rPr>
        <w:t xml:space="preserve"> Interest Period, the LIBO Screen Rate at approximately 11:00 a.m., London time, two </w:t>
      </w:r>
      <w:r>
        <w:rPr>
          <w:rFonts w:ascii="Arial" w:cs="Arial" w:eastAsia="Arial" w:hAnsi="Arial"/>
          <w:sz w:val="19"/>
          <w:szCs w:val="19"/>
          <w:color w:val="008000"/>
          <w:strike w:val="1"/>
        </w:rPr>
        <w:t>Business Days prior to the commencement of such</w:t>
      </w:r>
      <w:r>
        <w:rPr>
          <w:rFonts w:ascii="Arial" w:cs="Arial" w:eastAsia="Arial" w:hAnsi="Arial"/>
          <w:sz w:val="19"/>
          <w:szCs w:val="19"/>
          <w:color w:val="FF0000"/>
          <w:strike w:val="1"/>
        </w:rPr>
        <w:t xml:space="preserve"> Interest Period;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the LIBO Screen Rate shall not be available at such time for such Interest Period (an “</w:t>
      </w:r>
      <w:r>
        <w:rPr>
          <w:rFonts w:ascii="Arial" w:cs="Arial" w:eastAsia="Arial" w:hAnsi="Arial"/>
          <w:sz w:val="19"/>
          <w:szCs w:val="19"/>
          <w:b w:val="1"/>
          <w:bCs w:val="1"/>
          <w:color w:val="FF0000"/>
          <w:strike w:val="1"/>
        </w:rPr>
        <w:t>Impacted</w:t>
      </w:r>
      <w:r>
        <w:rPr>
          <w:rFonts w:ascii="Arial" w:cs="Arial" w:eastAsia="Arial" w:hAnsi="Arial"/>
          <w:sz w:val="19"/>
          <w:szCs w:val="19"/>
          <w:color w:val="FF0000"/>
          <w:strike w:val="1"/>
        </w:rPr>
        <w:t xml:space="preserve"> </w:t>
      </w:r>
      <w:r>
        <w:rPr>
          <w:rFonts w:ascii="Arial" w:cs="Arial" w:eastAsia="Arial" w:hAnsi="Arial"/>
          <w:sz w:val="19"/>
          <w:szCs w:val="19"/>
          <w:b w:val="1"/>
          <w:bCs w:val="1"/>
          <w:color w:val="FF0000"/>
          <w:strike w:val="1"/>
        </w:rPr>
        <w:t>LIBO Rate Interest Period</w:t>
      </w:r>
      <w:r>
        <w:rPr>
          <w:rFonts w:ascii="Arial" w:cs="Arial" w:eastAsia="Arial" w:hAnsi="Arial"/>
          <w:sz w:val="19"/>
          <w:szCs w:val="19"/>
          <w:color w:val="FF0000"/>
          <w:strike w:val="1"/>
        </w:rPr>
        <w:t>”) with respect to such Agreed Currency, then the LIBO Rate shall be the LIBO Interpolated Rate.</w:t>
      </w:r>
    </w:p>
    <w:p>
      <w:pPr>
        <w:spacing w:after="0" w:line="13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LIBO Screen</w:t>
      </w:r>
      <w:r>
        <w:rPr>
          <w:rFonts w:ascii="Arial" w:cs="Arial" w:eastAsia="Arial" w:hAnsi="Arial"/>
          <w:sz w:val="21"/>
          <w:szCs w:val="21"/>
          <w:color w:val="FF0000"/>
          <w:strike w:val="1"/>
        </w:rPr>
        <w:t xml:space="preserve"> </w:t>
      </w:r>
      <w:r>
        <w:rPr>
          <w:rFonts w:ascii="Arial" w:cs="Arial" w:eastAsia="Arial" w:hAnsi="Arial"/>
          <w:sz w:val="21"/>
          <w:szCs w:val="21"/>
          <w:b w:val="1"/>
          <w:bCs w:val="1"/>
          <w:color w:val="008000"/>
          <w:strike w:val="1"/>
        </w:rPr>
        <w:t>Rate</w:t>
      </w:r>
      <w:r>
        <w:rPr>
          <w:rFonts w:ascii="Arial" w:cs="Arial" w:eastAsia="Arial" w:hAnsi="Arial"/>
          <w:sz w:val="21"/>
          <w:szCs w:val="21"/>
          <w:color w:val="008000"/>
          <w:strike w:val="1"/>
        </w:rPr>
        <w:t>” means, for any day and time, with respect to any Term Benchmark Borrowing denominated in</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Dollars and for any </w:t>
      </w:r>
      <w:r>
        <w:rPr>
          <w:rFonts w:ascii="Arial" w:cs="Arial" w:eastAsia="Arial" w:hAnsi="Arial"/>
          <w:sz w:val="21"/>
          <w:szCs w:val="21"/>
          <w:color w:val="FF0000"/>
          <w:strike w:val="1"/>
        </w:rPr>
        <w:t>Interest Period, the London interbank offered rate as administered by ICE Benchmark Administration (or any</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 xml:space="preserve">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if the LIBO Screen Rate shall be </w:t>
      </w:r>
      <w:r>
        <w:rPr>
          <w:rFonts w:ascii="Arial" w:cs="Arial" w:eastAsia="Arial" w:hAnsi="Arial"/>
          <w:sz w:val="21"/>
          <w:szCs w:val="21"/>
          <w:color w:val="008000"/>
          <w:strike w:val="1"/>
        </w:rPr>
        <w:t>less than 0.00%, such rate shall</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be deemed 0.00% for the purposes of this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b w:val="1"/>
          <w:bCs w:val="1"/>
          <w:color w:val="FF0000"/>
          <w:strike w:val="1"/>
        </w:rPr>
        <w:t>LIBOR</w:t>
      </w:r>
      <w:r>
        <w:rPr>
          <w:rFonts w:ascii="Arial" w:cs="Arial" w:eastAsia="Arial" w:hAnsi="Arial"/>
          <w:sz w:val="22"/>
          <w:szCs w:val="22"/>
          <w:color w:val="FF0000"/>
          <w:strike w:val="1"/>
        </w:rPr>
        <w:t xml:space="preserve">” has the meaning assigned to such term in </w:t>
      </w:r>
      <w:r>
        <w:rPr>
          <w:rFonts w:ascii="Arial" w:cs="Arial" w:eastAsia="Arial" w:hAnsi="Arial"/>
          <w:sz w:val="22"/>
          <w:szCs w:val="22"/>
          <w:u w:val="single" w:color="auto"/>
          <w:color w:val="FF0000"/>
          <w:strike w:val="1"/>
        </w:rPr>
        <w:t>Section 1.05</w:t>
      </w:r>
      <w:r>
        <w:rPr>
          <w:rFonts w:ascii="Arial" w:cs="Arial" w:eastAsia="Arial" w:hAnsi="Arial"/>
          <w:sz w:val="22"/>
          <w:szCs w:val="22"/>
          <w:color w:val="FF0000"/>
          <w:strike w:val="1"/>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with respect to any asset or right, (a) any mortgage, deed of trust, lien, pledge, hypothecation, encumbrance, charge or security interest in, on or of such asset or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114" w:name="page115"/>
    <w:bookmarkEnd w:id="114"/>
    <w:p>
      <w:pPr>
        <w:jc w:val="both"/>
        <w:spacing w:after="0" w:line="229" w:lineRule="auto"/>
        <w:rPr>
          <w:sz w:val="20"/>
          <w:szCs w:val="20"/>
          <w:color w:val="auto"/>
        </w:rPr>
      </w:pPr>
      <w:r>
        <w:rPr>
          <w:rFonts w:ascii="Arial" w:cs="Arial" w:eastAsia="Arial" w:hAnsi="Arial"/>
          <w:sz w:val="21"/>
          <w:szCs w:val="21"/>
          <w:color w:val="auto"/>
        </w:rPr>
        <w:t>(including a “security interest” within the meaning of section 12(1) and section 12(2) of the Australian PPSA, but not section 12(3) unless that security interest in substance secures payment or performance of an obligation), and (b) the interest of a vendor or a lessor under any conditional sale agreement, capital lease or title retention agreement (or any financing lease having substantially the same economic effect as any of the foregoing) relating to such asset or right.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Limitation Event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9.09(a)(iii)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Liquidity Impairment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Documents</w:t>
      </w:r>
      <w:r>
        <w:rPr>
          <w:rFonts w:ascii="Arial" w:cs="Arial" w:eastAsia="Arial" w:hAnsi="Arial"/>
          <w:sz w:val="22"/>
          <w:szCs w:val="22"/>
          <w:color w:val="auto"/>
        </w:rPr>
        <w:t xml:space="preserve">” means this Agreement (including any amendment hereto or waiver hereunder), the Notes (if any), any Joinder Agreement, any guaranty supplement delivered pursuant to </w:t>
      </w: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hereof, the Security Documents, the Fee Letter and any other agreement, instrument or document executed by one or more Loan Parties after the Effective Date and designated by its terms as a Loan Document.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Parties</w:t>
      </w:r>
      <w:r>
        <w:rPr>
          <w:rFonts w:ascii="Arial" w:cs="Arial" w:eastAsia="Arial" w:hAnsi="Arial"/>
          <w:sz w:val="22"/>
          <w:szCs w:val="22"/>
          <w:color w:val="auto"/>
        </w:rPr>
        <w:t>” means the Borrower and the Guarantors.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Loans</w:t>
      </w:r>
      <w:r>
        <w:rPr>
          <w:rFonts w:ascii="Arial" w:cs="Arial" w:eastAsia="Arial" w:hAnsi="Arial"/>
          <w:sz w:val="22"/>
          <w:szCs w:val="22"/>
          <w:color w:val="auto"/>
        </w:rPr>
        <w:t>” means the loans made by the Lenders to the Borrower pursuant to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Local Time</w:t>
      </w:r>
      <w:r>
        <w:rPr>
          <w:rFonts w:ascii="Arial" w:cs="Arial" w:eastAsia="Arial" w:hAnsi="Arial"/>
          <w:sz w:val="19"/>
          <w:szCs w:val="19"/>
          <w:color w:val="auto"/>
        </w:rPr>
        <w:t>” means (a) in the case of a Loan, Borrowing or LC Disbursement denominated in Dollars, New York City time, and (b) in the case of a Loan, Borrowing or LC Disbursement denominated in an Alternative Currency, local time (it being understood that such local time shall mean London, England time unless otherwise notified by the Administrative Agent) and (c) in the case of a Borrowing in Australian Dollars, “Local Time” shall mean Sydney time (daylight or standard, as applicable).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Notification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9.09(d)</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 material adverse effect on (a) the business, property, financial condition or results of operations of the Parent and its Subsidiaries taken as a whole, (b) the ability of the Parent or the Borrower to perform any of its payment obligations under this Agreement or any other Loan Document or (c) the rights of or remedies available to the Agents and the Lenders, taken as a whole, under this Agreement or any other Loan Document.</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Indebtedness</w:t>
      </w:r>
      <w:r>
        <w:rPr>
          <w:rFonts w:ascii="Arial" w:cs="Arial" w:eastAsia="Arial" w:hAnsi="Arial"/>
          <w:sz w:val="21"/>
          <w:szCs w:val="21"/>
          <w:color w:val="auto"/>
        </w:rPr>
        <w:t>” means Indebtedness (other than any Indebtedness under the Loan Documents and Letters of Credit hereunder), or obligations in respect of one or more Swap Agreements, of any one or more of the Parent and its Subsidiaries having an outstanding principal amount exceeding $15,000,000. For purposes of determining Material Indebtedness, the “principal amount” of the obligations of the Parent or any Subsidiary in respect of any Swap Agreement at any time shall be the maximum aggregate amount (giving effect to any netting agreements) that the Parent or such Subsidiary would be required to pay if such Swap Agreement were terminated at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the fourth anniversary of the Effective Date.</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Amount</w:t>
      </w:r>
      <w:r>
        <w:rPr>
          <w:rFonts w:ascii="Arial" w:cs="Arial" w:eastAsia="Arial" w:hAnsi="Arial"/>
          <w:sz w:val="19"/>
          <w:szCs w:val="19"/>
          <w:color w:val="auto"/>
        </w:rPr>
        <w:t>” means the amount which would, but for any reduction or prohibition of payment or other distribution due to the relationship between any Subordinated Lender and a Loan Party, have been distributed or distributable to the Secured Parties or to the Administrative Agent on behalf of the relevant Secured Parties (or any of them).</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ASR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6.05(vi)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Maximum Rate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10.13</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 means, at any date of determination, the most recently completed four consecutive fiscal quarters of the Parent ended on or prior to such date.</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Collateral Amount</w:t>
      </w:r>
      <w:r>
        <w:rPr>
          <w:rFonts w:ascii="Arial" w:cs="Arial" w:eastAsia="Arial" w:hAnsi="Arial"/>
          <w:sz w:val="22"/>
          <w:szCs w:val="22"/>
          <w:color w:val="auto"/>
        </w:rPr>
        <w:t>” means, at any time, with respect to Cash Collateral consisting of cash or deposit account balances, an amount equal to 103% of the Fronting Exposure of an Issuing Bank with respect to Letters of Credit issued and outstanding at such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w:t>
      </w:r>
    </w:p>
    <w:p>
      <w:pPr>
        <w:spacing w:after="0" w:line="17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Multiemployer Plan</w:t>
      </w:r>
      <w:r>
        <w:rPr>
          <w:rFonts w:ascii="Arial" w:cs="Arial" w:eastAsia="Arial" w:hAnsi="Arial"/>
          <w:sz w:val="21"/>
          <w:szCs w:val="21"/>
          <w:color w:val="auto"/>
        </w:rPr>
        <w:t>” means any multiemployer plan as defined in Section 4001(a)(3) of ERISA, which is contributed to by (or to which there is or would be an obligation to contribute of) the Parent, the Borrower or a Subsidiary or an ERISA Affiliate, and each such plan for the five- year period immediately following the latest date on which the Parent, the Borrower, or a Subsidiary or an ERISA Affiliate contributed to or had an obligation to contribute to such plan.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Assets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9.09(a)(i)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Debt for Borrowed Money</w:t>
      </w:r>
      <w:r>
        <w:rPr>
          <w:rFonts w:ascii="Arial" w:cs="Arial" w:eastAsia="Arial" w:hAnsi="Arial"/>
          <w:sz w:val="19"/>
          <w:szCs w:val="19"/>
          <w:color w:val="auto"/>
        </w:rPr>
        <w:t xml:space="preserve">” of the Parent and its Subsidiaries means, as of any date of determination, an amount equal to (i) the sum of (a) the outstanding principal amount of all Indebtedness for borrowed money (including reimbursement obligations with respect to any drawn letters of credit) of all such Persons on a consolidated basis, (b) the aggregate amount of all Capital Lease Obligations of all such Persons on a consolidated basis, and (c) to the extent not duplicative with the Indebtedness and obligations specified in clauses (a) and (b) above, all Guarantees of all such Persons on a consolidated basis with respect to outstanding Indebtedness and obligations of the types specified in clauses (a) and (b) above of other Persons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all cash and Cash Equivalents (except, for the avoidance of doubt, any Restricted Cash) of the Parent and its Subsidiaries in an aggregate amount not to exceed $75,000,000. For the avoidance of doubt, the amount of Net Debt for Borrowed Money shall be deemed to be zero with respect to any letter of credit, unless and until a drawing is made with respect thereto.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Loans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Non-Consenting Lender</w:t>
      </w:r>
      <w:r>
        <w:rPr>
          <w:rFonts w:ascii="Arial" w:cs="Arial" w:eastAsia="Arial" w:hAnsi="Arial"/>
          <w:sz w:val="22"/>
          <w:szCs w:val="22"/>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and (ii) has been approved by the Required Lenders.</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Non-Cooperative Jurisdiction</w:t>
      </w:r>
      <w:r>
        <w:rPr>
          <w:rFonts w:ascii="Arial" w:cs="Arial" w:eastAsia="Arial" w:hAnsi="Arial"/>
          <w:sz w:val="19"/>
          <w:szCs w:val="19"/>
          <w:color w:val="auto"/>
        </w:rPr>
        <w:t>” means a “non-cooperative tax jurisdiction” (nicht kooperatives Steuerhoheitsgebiet) as set out in the German Act to avert tax evasion and unfair tax competition (Gesetz zur Abwehr von Steuervermeidung und unfairem Steuerwettbewerb) and the respective legislative decree (Rechtsverordnung) as amended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Non-Defaulting Lender</w:t>
      </w:r>
      <w:r>
        <w:rPr>
          <w:rFonts w:ascii="Arial" w:cs="Arial" w:eastAsia="Arial" w:hAnsi="Arial"/>
          <w:sz w:val="22"/>
          <w:szCs w:val="22"/>
          <w:color w:val="auto"/>
        </w:rPr>
        <w:t>” means, at any time, each Lender that is not a Defaulting Lender at such time.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Plan</w:t>
      </w:r>
      <w:r>
        <w:rPr>
          <w:rFonts w:ascii="Arial" w:cs="Arial" w:eastAsia="Arial" w:hAnsi="Arial"/>
          <w:sz w:val="22"/>
          <w:szCs w:val="22"/>
          <w:color w:val="auto"/>
        </w:rPr>
        <w:t>” means any plan, fund (including, without limitation, any superannuation fund) or other similar program established, contributed to (regardless of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395" w:right="339" w:bottom="1440" w:gutter="0" w:footer="0" w:header="0"/>
        </w:sectPr>
      </w:pPr>
    </w:p>
    <w:bookmarkStart w:id="116" w:name="page117"/>
    <w:bookmarkEnd w:id="116"/>
    <w:p>
      <w:pPr>
        <w:jc w:val="both"/>
        <w:spacing w:after="0" w:line="216" w:lineRule="auto"/>
        <w:rPr>
          <w:sz w:val="20"/>
          <w:szCs w:val="20"/>
          <w:color w:val="auto"/>
        </w:rPr>
      </w:pPr>
      <w:r>
        <w:rPr>
          <w:rFonts w:ascii="Arial" w:cs="Arial" w:eastAsia="Arial" w:hAnsi="Arial"/>
          <w:sz w:val="22"/>
          <w:szCs w:val="22"/>
          <w:color w:val="auto"/>
        </w:rPr>
        <w:t>through direct contributions or through employee withholding) or maintained outside the United States by the Parent, the Borrower or one or more Subsidiaries primarily for the benefit of employees of the Parent,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NYFRB</w:t>
      </w:r>
      <w:r>
        <w:rPr>
          <w:rFonts w:ascii="Arial" w:cs="Arial" w:eastAsia="Arial" w:hAnsi="Arial"/>
          <w:sz w:val="22"/>
          <w:szCs w:val="22"/>
          <w:color w:val="auto"/>
        </w:rPr>
        <w:t>” means the Federal Reserve Bank of New York.</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 Rate</w:t>
      </w:r>
      <w:r>
        <w:rPr>
          <w:rFonts w:ascii="Arial" w:cs="Arial" w:eastAsia="Arial" w:hAnsi="Arial"/>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any of the aforesaid rates shall be less than zero, such rate shall be deemed to be zero for purposes of this Agreement.</w:t>
      </w:r>
    </w:p>
    <w:p>
      <w:pPr>
        <w:spacing w:after="0" w:line="1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means all amounts owing by any Loan Party to the Administrative Agent, any Issuing Bank or any Lender (or, in the case of (x) Specified Cash Management Agreements, any Affiliate of any Lender and (y) Specified Swap Agreements, any Person that was a Lender or an Affiliate of a Lender at the time the relevant Swap Agreement was entered into) pursuant to the terms of this Agreement or any other Loan Document, including any obligation to provide Cash Collateral, or in respect of any Letter of Credit, any Specified Swap Agreement or any Specified Cash Management Agreement (including all interest which accrues after the commencement of any case or proceeding in bankruptcy after the insolvency of, or for the reorganization of the Parent or any of its Subsidiaries, whether or not allowed in such case or proceeding).</w:t>
      </w:r>
    </w:p>
    <w:p>
      <w:pPr>
        <w:spacing w:after="0" w:line="148" w:lineRule="exact"/>
        <w:rPr>
          <w:sz w:val="20"/>
          <w:szCs w:val="20"/>
          <w:color w:val="auto"/>
        </w:rPr>
      </w:pPr>
    </w:p>
    <w:p>
      <w:pPr>
        <w:jc w:val="both"/>
        <w:ind w:firstLine="216"/>
        <w:spacing w:after="0" w:line="235"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b w:val="1"/>
          <w:bCs w:val="1"/>
          <w:color w:val="FF0000"/>
          <w:strike w:val="1"/>
        </w:rPr>
        <w:t>Other Benchmark Rate Election</w:t>
      </w:r>
      <w:r>
        <w:rPr>
          <w:rFonts w:ascii="Arial" w:cs="Arial" w:eastAsia="Arial" w:hAnsi="Arial"/>
          <w:sz w:val="22"/>
          <w:szCs w:val="22"/>
          <w:color w:val="FF0000"/>
          <w:strike w:val="1"/>
        </w:rPr>
        <w:t>” means, with respect to any Loan denominated in Dollars, if the then-current Benchmark is the LIBO Rate, the occurrence of:</w:t>
      </w:r>
    </w:p>
    <w:p>
      <w:pPr>
        <w:spacing w:after="0" w:line="159" w:lineRule="exact"/>
        <w:rPr>
          <w:sz w:val="20"/>
          <w:szCs w:val="20"/>
          <w:color w:val="auto"/>
        </w:rPr>
      </w:pPr>
    </w:p>
    <w:p>
      <w:pPr>
        <w:jc w:val="both"/>
        <w:ind w:firstLine="656"/>
        <w:spacing w:after="0" w:line="234" w:lineRule="auto"/>
        <w:tabs>
          <w:tab w:leader="none" w:pos="998" w:val="left"/>
        </w:tabs>
        <w:numPr>
          <w:ilvl w:val="0"/>
          <w:numId w:val="41"/>
        </w:numPr>
        <w:rPr>
          <w:rFonts w:ascii="Arial" w:cs="Arial" w:eastAsia="Arial" w:hAnsi="Arial"/>
          <w:sz w:val="21"/>
          <w:szCs w:val="21"/>
          <w:color w:val="FF0000"/>
          <w:strike w:val="1"/>
        </w:rPr>
      </w:pPr>
      <w:r>
        <w:rPr>
          <w:rFonts w:ascii="Arial" w:cs="Arial" w:eastAsia="Arial" w:hAnsi="Arial"/>
          <w:sz w:val="21"/>
          <w:szCs w:val="21"/>
          <w:color w:val="FF0000"/>
          <w:strike w:val="1"/>
        </w:rPr>
        <w:t>a request by the Borrower to the Administrative Agent to notify each of the other parties hereto that, at the determination of the Borrower, Dollar-denominated syndicated credit facilities at such time contain (as a result of amendment or as originally executed), in lieu of a LIBOR-based rate, a term benchmark rate as a benchmark rate, and</w:t>
      </w:r>
    </w:p>
    <w:p>
      <w:pPr>
        <w:spacing w:after="0" w:line="157" w:lineRule="exact"/>
        <w:rPr>
          <w:rFonts w:ascii="Arial" w:cs="Arial" w:eastAsia="Arial" w:hAnsi="Arial"/>
          <w:sz w:val="21"/>
          <w:szCs w:val="21"/>
          <w:color w:val="FF0000"/>
          <w:strike w:val="1"/>
        </w:rPr>
      </w:pPr>
    </w:p>
    <w:p>
      <w:pPr>
        <w:ind w:firstLine="656"/>
        <w:spacing w:after="0" w:line="298" w:lineRule="auto"/>
        <w:tabs>
          <w:tab w:leader="none" w:pos="955" w:val="left"/>
        </w:tabs>
        <w:numPr>
          <w:ilvl w:val="0"/>
          <w:numId w:val="41"/>
        </w:numPr>
        <w:rPr>
          <w:rFonts w:ascii="Arial" w:cs="Arial" w:eastAsia="Arial" w:hAnsi="Arial"/>
          <w:sz w:val="19"/>
          <w:szCs w:val="19"/>
          <w:color w:val="FF0000"/>
          <w:strike w:val="1"/>
        </w:rPr>
      </w:pPr>
      <w:r>
        <w:rPr>
          <w:rFonts w:ascii="Arial" w:cs="Arial" w:eastAsia="Arial" w:hAnsi="Arial"/>
          <w:sz w:val="19"/>
          <w:szCs w:val="19"/>
          <w:color w:val="FF0000"/>
          <w:strike w:val="1"/>
        </w:rPr>
        <w:t>the Administrative Agent, in its sole discretion, and the Borrower jointly elect to trigger a fallback from the LIBO Rate and the provision, as applicable, by the Administrative Agent of written notice of such election to the Borrower and the Lenders.</w:t>
      </w:r>
    </w:p>
    <w:p>
      <w:pPr>
        <w:spacing w:after="0" w:line="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Connection Taxes</w:t>
      </w:r>
      <w:r>
        <w:rPr>
          <w:rFonts w:ascii="Arial" w:cs="Arial" w:eastAsia="Arial" w:hAnsi="Arial"/>
          <w:sz w:val="19"/>
          <w:szCs w:val="19"/>
          <w:color w:val="auto"/>
        </w:rPr>
        <w:t>” means, with respect to the Administrative Agent, any Issuing Bank, any Lender or any other recipient of any payment to be made by or on account of any obligation of the Parent or the Borrower, as applicable, hereunder, Taxes imposed as a result of a present or former connection between such Administrative Agent, Issuing Bank, Lender or other recipient and the jurisdiction imposing such Tax (other than connections arising solely from such Administrative Agent, Issuing Bank, Lender or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01" w:right="339" w:bottom="1440" w:gutter="0" w:footer="0" w:header="0"/>
        </w:sectPr>
      </w:pPr>
    </w:p>
    <w:bookmarkStart w:id="117" w:name="page118"/>
    <w:bookmarkEnd w:id="117"/>
    <w:p>
      <w:pPr>
        <w:jc w:val="both"/>
        <w:ind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Taxes</w:t>
      </w:r>
      <w:r>
        <w:rPr>
          <w:rFonts w:ascii="Arial" w:cs="Arial" w:eastAsia="Arial" w:hAnsi="Arial"/>
          <w:sz w:val="22"/>
          <w:szCs w:val="22"/>
          <w:color w:val="auto"/>
        </w:rPr>
        <w:t xml:space="preserve">” 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Borrower’s request pursuant to </w:t>
      </w:r>
      <w:r>
        <w:rPr>
          <w:rFonts w:ascii="Arial" w:cs="Arial" w:eastAsia="Arial" w:hAnsi="Arial"/>
          <w:sz w:val="22"/>
          <w:szCs w:val="22"/>
          <w:u w:val="single" w:color="auto"/>
          <w:color w:val="auto"/>
        </w:rPr>
        <w:t>Section 2.16(b)</w:t>
      </w:r>
      <w:r>
        <w:rPr>
          <w:rFonts w:ascii="Arial" w:cs="Arial" w:eastAsia="Arial" w:hAnsi="Arial"/>
          <w:sz w:val="22"/>
          <w:szCs w:val="22"/>
          <w:color w:val="auto"/>
        </w:rPr>
        <w:t>).</w:t>
      </w:r>
    </w:p>
    <w:p>
      <w:pPr>
        <w:spacing w:after="0" w:line="15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Overnight Bank Funding Rate</w:t>
      </w:r>
      <w:r>
        <w:rPr>
          <w:rFonts w:ascii="Arial" w:cs="Arial" w:eastAsia="Arial" w:hAnsi="Arial"/>
          <w:sz w:val="22"/>
          <w:szCs w:val="22"/>
          <w:color w:val="auto"/>
        </w:rPr>
        <w:t>” means, for any day, the rate comprised of both overnight federal funds and overnight Term Benchmark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Parallel Debt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10.20(a)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w:t>
      </w:r>
      <w:r>
        <w:rPr>
          <w:rFonts w:ascii="Arial" w:cs="Arial" w:eastAsia="Arial" w:hAnsi="Arial"/>
          <w:sz w:val="22"/>
          <w:szCs w:val="22"/>
          <w:color w:val="auto"/>
        </w:rPr>
        <w:t>” means Fluence Energy, Inc., a Delaware corporation.</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Parent Convertible Notes</w:t>
      </w:r>
      <w:r>
        <w:rPr>
          <w:rFonts w:ascii="Arial" w:cs="Arial" w:eastAsia="Arial" w:hAnsi="Arial"/>
          <w:sz w:val="19"/>
          <w:szCs w:val="19"/>
          <w:color w:val="auto"/>
        </w:rPr>
        <w:t>” means senior unsecured convertible notes issued by the Parent which (i) are not guaranteed by or otherwise of recourse to the Borrower or any of its Subsidiaries, (ii) do not mature or require any principal payments prior to the date that is 180 days following the Maturity Date and (iii) contain terms which (x) are customary for similar types of Indebtedness at such time (as reasonably determined by the Parent) and (y) are not more restrictive on the Parent and its Subsidiaries than this Agreement and do not contain any financial maintenance covenants.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10.04(c)(i)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 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10.04(c)(iii)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Member State</w:t>
      </w:r>
      <w:r>
        <w:rPr>
          <w:rFonts w:ascii="Arial" w:cs="Arial" w:eastAsia="Arial" w:hAnsi="Arial"/>
          <w:sz w:val="22"/>
          <w:szCs w:val="22"/>
          <w:color w:val="auto"/>
        </w:rPr>
        <w:t>” means any member state of the European Union that has the euro as its lawful currency in accordance with legislation of the European Union relating to Economic and Monetary Union.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8.11(a)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8.11(b)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Pension Plan</w:t>
      </w:r>
      <w:r>
        <w:rPr>
          <w:rFonts w:ascii="Arial" w:cs="Arial" w:eastAsia="Arial" w:hAnsi="Arial"/>
          <w:sz w:val="21"/>
          <w:szCs w:val="21"/>
          <w:color w:val="auto"/>
        </w:rPr>
        <w:t>” means any “employee pension benefit plan” within the meaning of Section 3(2) of ERISA, other than a Multiemployer Plan, that is subject to Title IV of ERISA, Section 412 of the Code or Section 302 of ERISA and is maintained in whole or in part by the Parent, the Borrower, any Subsidiary or any ERISA Affiliate or with respect to which any of the Parent, the Borrower, any Subsidiary or any ERISA Affiliate has actual or contingent liability.</w:t>
      </w:r>
    </w:p>
    <w:p>
      <w:pPr>
        <w:spacing w:after="0" w:line="15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Bond Hedge Transaction</w:t>
      </w:r>
      <w:r>
        <w:rPr>
          <w:rFonts w:ascii="Arial" w:cs="Arial" w:eastAsia="Arial" w:hAnsi="Arial"/>
          <w:sz w:val="21"/>
          <w:szCs w:val="21"/>
          <w:color w:val="auto"/>
        </w:rPr>
        <w:t xml:space="preserve">” means any call or capped call option (or substantively equivalent derivative transaction) on the Parent’s common stock purchased by the Parent in connection with the issuance of the Parent Convertible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purchase price for such Permitted Bond Hedge Transaction, less the proceeds received by the Parent from the sale of any related Permitted Warrant Transaction, does not exceed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395" w:right="339" w:bottom="1440" w:gutter="0" w:footer="0" w:header="0"/>
        </w:sectPr>
      </w:pPr>
    </w:p>
    <w:bookmarkStart w:id="118" w:name="page119"/>
    <w:bookmarkEnd w:id="118"/>
    <w:p>
      <w:pPr>
        <w:spacing w:after="0" w:line="232" w:lineRule="auto"/>
        <w:rPr>
          <w:sz w:val="20"/>
          <w:szCs w:val="20"/>
          <w:color w:val="auto"/>
        </w:rPr>
      </w:pPr>
      <w:r>
        <w:rPr>
          <w:rFonts w:ascii="Arial" w:cs="Arial" w:eastAsia="Arial" w:hAnsi="Arial"/>
          <w:sz w:val="22"/>
          <w:szCs w:val="22"/>
          <w:color w:val="auto"/>
        </w:rPr>
        <w:t>proceeds received by the Parent from the sale of such Parent Convertible Notes issued in connection with the Permitted Bond Hedge Transaction.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Encumbrances</w:t>
      </w:r>
      <w:r>
        <w:rPr>
          <w:rFonts w:ascii="Arial" w:cs="Arial" w:eastAsia="Arial" w:hAnsi="Arial"/>
          <w:sz w:val="22"/>
          <w:szCs w:val="22"/>
          <w:color w:val="auto"/>
        </w:rPr>
        <w:t>” means:</w:t>
      </w:r>
    </w:p>
    <w:p>
      <w:pPr>
        <w:spacing w:after="0" w:line="185" w:lineRule="exact"/>
        <w:rPr>
          <w:sz w:val="20"/>
          <w:szCs w:val="20"/>
          <w:color w:val="auto"/>
        </w:rPr>
      </w:pPr>
    </w:p>
    <w:p>
      <w:pPr>
        <w:ind w:firstLine="656"/>
        <w:spacing w:after="0" w:line="232" w:lineRule="auto"/>
        <w:tabs>
          <w:tab w:leader="none" w:pos="1151" w:val="left"/>
        </w:tabs>
        <w:numPr>
          <w:ilvl w:val="0"/>
          <w:numId w:val="42"/>
        </w:numPr>
        <w:rPr>
          <w:rFonts w:ascii="Arial" w:cs="Arial" w:eastAsia="Arial" w:hAnsi="Arial"/>
          <w:sz w:val="20"/>
          <w:szCs w:val="20"/>
          <w:color w:val="auto"/>
        </w:rPr>
      </w:pPr>
      <w:r>
        <w:rPr>
          <w:rFonts w:ascii="Arial" w:cs="Arial" w:eastAsia="Arial" w:hAnsi="Arial"/>
          <w:sz w:val="22"/>
          <w:szCs w:val="22"/>
          <w:color w:val="auto"/>
        </w:rPr>
        <w:t xml:space="preserve">Liens imposed by law for taxes, assessments or governmental charges or levies that are not yet delinquent or are being contested in compliance with </w:t>
      </w:r>
      <w:r>
        <w:rPr>
          <w:rFonts w:ascii="Arial" w:cs="Arial" w:eastAsia="Arial" w:hAnsi="Arial"/>
          <w:sz w:val="22"/>
          <w:szCs w:val="22"/>
          <w:u w:val="single" w:color="auto"/>
          <w:color w:val="auto"/>
        </w:rPr>
        <w:t>Section 5.04</w:t>
      </w:r>
      <w:r>
        <w:rPr>
          <w:rFonts w:ascii="Arial" w:cs="Arial" w:eastAsia="Arial" w:hAnsi="Arial"/>
          <w:sz w:val="22"/>
          <w:szCs w:val="22"/>
          <w:color w:val="auto"/>
        </w:rPr>
        <w:t>;</w:t>
      </w:r>
    </w:p>
    <w:p>
      <w:pPr>
        <w:spacing w:after="0" w:line="158" w:lineRule="exact"/>
        <w:rPr>
          <w:rFonts w:ascii="Arial" w:cs="Arial" w:eastAsia="Arial" w:hAnsi="Arial"/>
          <w:sz w:val="20"/>
          <w:szCs w:val="20"/>
          <w:color w:val="auto"/>
        </w:rPr>
      </w:pPr>
    </w:p>
    <w:p>
      <w:pPr>
        <w:jc w:val="both"/>
        <w:ind w:firstLine="656"/>
        <w:spacing w:after="0" w:line="223" w:lineRule="auto"/>
        <w:tabs>
          <w:tab w:leader="none" w:pos="1258" w:val="left"/>
        </w:tabs>
        <w:numPr>
          <w:ilvl w:val="0"/>
          <w:numId w:val="42"/>
        </w:numPr>
        <w:rPr>
          <w:rFonts w:ascii="Arial" w:cs="Arial" w:eastAsia="Arial" w:hAnsi="Arial"/>
          <w:sz w:val="20"/>
          <w:szCs w:val="20"/>
          <w:color w:val="auto"/>
        </w:rPr>
      </w:pPr>
      <w:r>
        <w:rPr>
          <w:rFonts w:ascii="Arial" w:cs="Arial" w:eastAsia="Arial" w:hAnsi="Arial"/>
          <w:sz w:val="22"/>
          <w:szCs w:val="22"/>
          <w:color w:val="auto"/>
        </w:rPr>
        <w:t xml:space="preserve">carriers’, warehousemen’s, mechanics’, materialmen’s, landlord’s, supplier’s, repairmen’s and other like Liens imposed by law, arising in the ordinary course of business and securing obligations that are not overdue by more than 90 days or are being contested in compliance with </w:t>
      </w:r>
      <w:r>
        <w:rPr>
          <w:rFonts w:ascii="Arial" w:cs="Arial" w:eastAsia="Arial" w:hAnsi="Arial"/>
          <w:sz w:val="22"/>
          <w:szCs w:val="22"/>
          <w:u w:val="single" w:color="auto"/>
          <w:color w:val="auto"/>
        </w:rPr>
        <w:t>Section 5.04</w:t>
      </w:r>
      <w:r>
        <w:rPr>
          <w:rFonts w:ascii="Arial" w:cs="Arial" w:eastAsia="Arial" w:hAnsi="Arial"/>
          <w:sz w:val="22"/>
          <w:szCs w:val="22"/>
          <w:color w:val="auto"/>
        </w:rPr>
        <w:t>;</w:t>
      </w:r>
    </w:p>
    <w:p>
      <w:pPr>
        <w:spacing w:after="0" w:line="158" w:lineRule="exact"/>
        <w:rPr>
          <w:rFonts w:ascii="Arial" w:cs="Arial" w:eastAsia="Arial" w:hAnsi="Arial"/>
          <w:sz w:val="20"/>
          <w:szCs w:val="20"/>
          <w:color w:val="auto"/>
        </w:rPr>
      </w:pPr>
    </w:p>
    <w:p>
      <w:pPr>
        <w:ind w:firstLine="656"/>
        <w:spacing w:after="0" w:line="232" w:lineRule="auto"/>
        <w:tabs>
          <w:tab w:leader="none" w:pos="1303" w:val="left"/>
        </w:tabs>
        <w:numPr>
          <w:ilvl w:val="0"/>
          <w:numId w:val="42"/>
        </w:numPr>
        <w:rPr>
          <w:rFonts w:ascii="Arial" w:cs="Arial" w:eastAsia="Arial" w:hAnsi="Arial"/>
          <w:sz w:val="20"/>
          <w:szCs w:val="20"/>
          <w:color w:val="auto"/>
        </w:rPr>
      </w:pPr>
      <w:r>
        <w:rPr>
          <w:rFonts w:ascii="Arial" w:cs="Arial" w:eastAsia="Arial" w:hAnsi="Arial"/>
          <w:sz w:val="22"/>
          <w:szCs w:val="22"/>
          <w:color w:val="auto"/>
        </w:rPr>
        <w:t>pledges and deposits made in the ordinary course of business in compliance with workers’ compensation, unemployment insurance and other social security laws or regulations;</w:t>
      </w:r>
    </w:p>
    <w:p>
      <w:pPr>
        <w:spacing w:after="0" w:line="158" w:lineRule="exact"/>
        <w:rPr>
          <w:rFonts w:ascii="Arial" w:cs="Arial" w:eastAsia="Arial" w:hAnsi="Arial"/>
          <w:sz w:val="20"/>
          <w:szCs w:val="20"/>
          <w:color w:val="auto"/>
        </w:rPr>
      </w:pPr>
    </w:p>
    <w:p>
      <w:pPr>
        <w:jc w:val="both"/>
        <w:ind w:firstLine="656"/>
        <w:spacing w:after="0" w:line="268" w:lineRule="auto"/>
        <w:tabs>
          <w:tab w:leader="none" w:pos="1159" w:val="left"/>
        </w:tabs>
        <w:numPr>
          <w:ilvl w:val="0"/>
          <w:numId w:val="42"/>
        </w:numPr>
        <w:rPr>
          <w:rFonts w:ascii="Arial" w:cs="Arial" w:eastAsia="Arial" w:hAnsi="Arial"/>
          <w:sz w:val="18"/>
          <w:szCs w:val="18"/>
          <w:color w:val="auto"/>
        </w:rPr>
      </w:pPr>
      <w:r>
        <w:rPr>
          <w:rFonts w:ascii="Arial" w:cs="Arial" w:eastAsia="Arial" w:hAnsi="Arial"/>
          <w:sz w:val="19"/>
          <w:szCs w:val="19"/>
          <w:color w:val="auto"/>
        </w:rPr>
        <w:t xml:space="preserve">deposits to secure the performance of bids, trade contracts, leases, statutory obligations, surety and appeal bonds, performance bonds and other obligations of a like nature, in each case incurred in the ordinary course of business and to secure surety and appeal bonds in respect of judgments that do not constitute an Event of Default under </w:t>
      </w:r>
      <w:r>
        <w:rPr>
          <w:rFonts w:ascii="Arial" w:cs="Arial" w:eastAsia="Arial" w:hAnsi="Arial"/>
          <w:sz w:val="19"/>
          <w:szCs w:val="19"/>
          <w:u w:val="single" w:color="auto"/>
          <w:color w:val="auto"/>
        </w:rPr>
        <w:t>Section 7.01(k)</w:t>
      </w:r>
      <w:r>
        <w:rPr>
          <w:rFonts w:ascii="Arial" w:cs="Arial" w:eastAsia="Arial" w:hAnsi="Arial"/>
          <w:sz w:val="19"/>
          <w:szCs w:val="19"/>
          <w:color w:val="auto"/>
        </w:rPr>
        <w:t>;</w:t>
      </w:r>
    </w:p>
    <w:p>
      <w:pPr>
        <w:spacing w:after="0" w:line="132"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2"/>
          <w:szCs w:val="22"/>
          <w:color w:val="auto"/>
        </w:rPr>
        <w:t xml:space="preserve">Liens in respect of judgments that do not constitute an Event of Default under </w:t>
      </w:r>
      <w:r>
        <w:rPr>
          <w:rFonts w:ascii="Arial" w:cs="Arial" w:eastAsia="Arial" w:hAnsi="Arial"/>
          <w:sz w:val="22"/>
          <w:szCs w:val="22"/>
          <w:u w:val="single" w:color="auto"/>
          <w:color w:val="auto"/>
        </w:rPr>
        <w:t>Section 7.01(k)</w:t>
      </w:r>
      <w:r>
        <w:rPr>
          <w:rFonts w:ascii="Arial" w:cs="Arial" w:eastAsia="Arial" w:hAnsi="Arial"/>
          <w:sz w:val="22"/>
          <w:szCs w:val="22"/>
          <w:color w:val="auto"/>
        </w:rPr>
        <w:t>;</w:t>
      </w:r>
    </w:p>
    <w:p>
      <w:pPr>
        <w:spacing w:after="0" w:line="179" w:lineRule="exact"/>
        <w:rPr>
          <w:rFonts w:ascii="Arial" w:cs="Arial" w:eastAsia="Arial" w:hAnsi="Arial"/>
          <w:sz w:val="20"/>
          <w:szCs w:val="20"/>
          <w:color w:val="auto"/>
        </w:rPr>
      </w:pPr>
    </w:p>
    <w:p>
      <w:pPr>
        <w:jc w:val="both"/>
        <w:ind w:firstLine="656"/>
        <w:spacing w:after="0" w:line="218" w:lineRule="auto"/>
        <w:tabs>
          <w:tab w:leader="none" w:pos="1073" w:val="left"/>
        </w:tabs>
        <w:numPr>
          <w:ilvl w:val="0"/>
          <w:numId w:val="42"/>
        </w:numPr>
        <w:rPr>
          <w:rFonts w:ascii="Arial" w:cs="Arial" w:eastAsia="Arial" w:hAnsi="Arial"/>
          <w:sz w:val="20"/>
          <w:szCs w:val="20"/>
          <w:color w:val="auto"/>
        </w:rPr>
      </w:pPr>
      <w:r>
        <w:rPr>
          <w:rFonts w:ascii="Arial" w:cs="Arial" w:eastAsia="Arial" w:hAnsi="Arial"/>
          <w:sz w:val="22"/>
          <w:szCs w:val="22"/>
          <w:color w:val="auto"/>
        </w:rPr>
        <w:t>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the Borrower or any Subsidiary;</w:t>
      </w:r>
    </w:p>
    <w:p>
      <w:pPr>
        <w:spacing w:after="0" w:line="160" w:lineRule="exact"/>
        <w:rPr>
          <w:rFonts w:ascii="Arial" w:cs="Arial" w:eastAsia="Arial" w:hAnsi="Arial"/>
          <w:sz w:val="20"/>
          <w:szCs w:val="20"/>
          <w:color w:val="auto"/>
        </w:rPr>
      </w:pPr>
    </w:p>
    <w:p>
      <w:pPr>
        <w:ind w:firstLine="656"/>
        <w:spacing w:after="0" w:line="232" w:lineRule="auto"/>
        <w:tabs>
          <w:tab w:leader="none" w:pos="1310" w:val="left"/>
        </w:tabs>
        <w:numPr>
          <w:ilvl w:val="0"/>
          <w:numId w:val="42"/>
        </w:numPr>
        <w:rPr>
          <w:rFonts w:ascii="Arial" w:cs="Arial" w:eastAsia="Arial" w:hAnsi="Arial"/>
          <w:sz w:val="20"/>
          <w:szCs w:val="20"/>
          <w:color w:val="auto"/>
        </w:rPr>
      </w:pPr>
      <w:r>
        <w:rPr>
          <w:rFonts w:ascii="Arial" w:cs="Arial" w:eastAsia="Arial" w:hAnsi="Arial"/>
          <w:sz w:val="22"/>
          <w:szCs w:val="22"/>
          <w:color w:val="auto"/>
        </w:rPr>
        <w:t>Uniform Commercial Code financing statements filed (or similar filings under applicable law) solely as a precautionary measure in connection with operating leases;</w:t>
      </w:r>
    </w:p>
    <w:p>
      <w:pPr>
        <w:spacing w:after="0" w:line="158" w:lineRule="exact"/>
        <w:rPr>
          <w:rFonts w:ascii="Arial" w:cs="Arial" w:eastAsia="Arial" w:hAnsi="Arial"/>
          <w:sz w:val="20"/>
          <w:szCs w:val="20"/>
          <w:color w:val="auto"/>
        </w:rPr>
      </w:pPr>
    </w:p>
    <w:p>
      <w:pPr>
        <w:ind w:firstLine="656"/>
        <w:spacing w:after="0" w:line="232" w:lineRule="auto"/>
        <w:tabs>
          <w:tab w:leader="none" w:pos="1153" w:val="left"/>
        </w:tabs>
        <w:numPr>
          <w:ilvl w:val="0"/>
          <w:numId w:val="42"/>
        </w:numPr>
        <w:rPr>
          <w:rFonts w:ascii="Arial" w:cs="Arial" w:eastAsia="Arial" w:hAnsi="Arial"/>
          <w:sz w:val="20"/>
          <w:szCs w:val="20"/>
          <w:color w:val="auto"/>
        </w:rPr>
      </w:pPr>
      <w:r>
        <w:rPr>
          <w:rFonts w:ascii="Arial" w:cs="Arial" w:eastAsia="Arial" w:hAnsi="Arial"/>
          <w:sz w:val="22"/>
          <w:szCs w:val="22"/>
          <w:color w:val="auto"/>
        </w:rPr>
        <w:t>leases or subleases granted to other Persons and not interfering in any material respect, individually or taken as a whole, with the business of the lessor or sublessor;</w:t>
      </w:r>
    </w:p>
    <w:p>
      <w:pPr>
        <w:spacing w:after="0" w:line="158" w:lineRule="exact"/>
        <w:rPr>
          <w:rFonts w:ascii="Arial" w:cs="Arial" w:eastAsia="Arial" w:hAnsi="Arial"/>
          <w:sz w:val="20"/>
          <w:szCs w:val="20"/>
          <w:color w:val="auto"/>
        </w:rPr>
      </w:pPr>
    </w:p>
    <w:p>
      <w:pPr>
        <w:ind w:firstLine="656"/>
        <w:spacing w:after="0" w:line="232" w:lineRule="auto"/>
        <w:tabs>
          <w:tab w:leader="none" w:pos="1079" w:val="left"/>
        </w:tabs>
        <w:numPr>
          <w:ilvl w:val="0"/>
          <w:numId w:val="42"/>
        </w:numPr>
        <w:rPr>
          <w:rFonts w:ascii="Arial" w:cs="Arial" w:eastAsia="Arial" w:hAnsi="Arial"/>
          <w:sz w:val="20"/>
          <w:szCs w:val="20"/>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158" w:lineRule="exact"/>
        <w:rPr>
          <w:rFonts w:ascii="Arial" w:cs="Arial" w:eastAsia="Arial" w:hAnsi="Arial"/>
          <w:sz w:val="20"/>
          <w:szCs w:val="20"/>
          <w:color w:val="auto"/>
        </w:rPr>
      </w:pPr>
    </w:p>
    <w:p>
      <w:pPr>
        <w:ind w:firstLine="656"/>
        <w:spacing w:after="0" w:line="232" w:lineRule="auto"/>
        <w:tabs>
          <w:tab w:leader="none" w:pos="1088" w:val="left"/>
        </w:tabs>
        <w:numPr>
          <w:ilvl w:val="0"/>
          <w:numId w:val="42"/>
        </w:numPr>
        <w:rPr>
          <w:rFonts w:ascii="Arial" w:cs="Arial" w:eastAsia="Arial" w:hAnsi="Arial"/>
          <w:sz w:val="20"/>
          <w:szCs w:val="20"/>
          <w:color w:val="auto"/>
        </w:rPr>
      </w:pPr>
      <w:r>
        <w:rPr>
          <w:rFonts w:ascii="Arial" w:cs="Arial" w:eastAsia="Arial" w:hAnsi="Arial"/>
          <w:sz w:val="22"/>
          <w:szCs w:val="22"/>
          <w:color w:val="auto"/>
        </w:rPr>
        <w:t>deposits made or other security provided to secure liabilities to insurance carriers under insurance or self-insurance arrangements;</w:t>
      </w:r>
    </w:p>
    <w:p>
      <w:pPr>
        <w:spacing w:after="0" w:line="158" w:lineRule="exact"/>
        <w:rPr>
          <w:rFonts w:ascii="Arial" w:cs="Arial" w:eastAsia="Arial" w:hAnsi="Arial"/>
          <w:sz w:val="20"/>
          <w:szCs w:val="20"/>
          <w:color w:val="auto"/>
        </w:rPr>
      </w:pPr>
    </w:p>
    <w:p>
      <w:pPr>
        <w:ind w:firstLine="656"/>
        <w:spacing w:after="0" w:line="232" w:lineRule="auto"/>
        <w:tabs>
          <w:tab w:leader="none" w:pos="1113" w:val="left"/>
        </w:tabs>
        <w:numPr>
          <w:ilvl w:val="0"/>
          <w:numId w:val="42"/>
        </w:numPr>
        <w:rPr>
          <w:rFonts w:ascii="Arial" w:cs="Arial" w:eastAsia="Arial" w:hAnsi="Arial"/>
          <w:sz w:val="20"/>
          <w:szCs w:val="20"/>
          <w:color w:val="auto"/>
        </w:rPr>
      </w:pPr>
      <w:r>
        <w:rPr>
          <w:rFonts w:ascii="Arial" w:cs="Arial" w:eastAsia="Arial" w:hAnsi="Arial"/>
          <w:sz w:val="22"/>
          <w:szCs w:val="22"/>
          <w:color w:val="auto"/>
        </w:rPr>
        <w:t>rights of consignors of goods in goods consigned, whether or not perfected by the filing of a financing statement or other registration, recording or filing;</w:t>
      </w:r>
    </w:p>
    <w:p>
      <w:pPr>
        <w:spacing w:after="0" w:line="158" w:lineRule="exact"/>
        <w:rPr>
          <w:rFonts w:ascii="Arial" w:cs="Arial" w:eastAsia="Arial" w:hAnsi="Arial"/>
          <w:sz w:val="20"/>
          <w:szCs w:val="20"/>
          <w:color w:val="auto"/>
        </w:rPr>
      </w:pPr>
    </w:p>
    <w:p>
      <w:pPr>
        <w:jc w:val="both"/>
        <w:ind w:firstLine="656"/>
        <w:spacing w:after="0" w:line="218" w:lineRule="auto"/>
        <w:tabs>
          <w:tab w:leader="none" w:pos="1082" w:val="left"/>
        </w:tabs>
        <w:numPr>
          <w:ilvl w:val="0"/>
          <w:numId w:val="42"/>
        </w:numPr>
        <w:rPr>
          <w:rFonts w:ascii="Arial" w:cs="Arial" w:eastAsia="Arial" w:hAnsi="Arial"/>
          <w:sz w:val="20"/>
          <w:szCs w:val="20"/>
          <w:color w:val="auto"/>
        </w:rPr>
      </w:pPr>
      <w:r>
        <w:rPr>
          <w:rFonts w:ascii="Arial" w:cs="Arial" w:eastAsia="Arial" w:hAnsi="Arial"/>
          <w:sz w:val="22"/>
          <w:szCs w:val="22"/>
          <w:color w:val="auto"/>
        </w:rPr>
        <w:t>Liens (i) of a collection bank arising under Section 4-210 of the UCC or any comparable or successor provision on items in the course of collection, (ii) attaching to commodity trading accounts or other commodity brokerage accounts incurred in the ordinary course of business and not for speculative purposes and (iii) in favor of banking institutions encumbering deposits (including the right of set-off);</w:t>
      </w:r>
    </w:p>
    <w:p>
      <w:pPr>
        <w:spacing w:after="0" w:line="160" w:lineRule="exact"/>
        <w:rPr>
          <w:rFonts w:ascii="Arial" w:cs="Arial" w:eastAsia="Arial" w:hAnsi="Arial"/>
          <w:sz w:val="20"/>
          <w:szCs w:val="20"/>
          <w:color w:val="auto"/>
        </w:rPr>
      </w:pPr>
    </w:p>
    <w:p>
      <w:pPr>
        <w:ind w:firstLine="656"/>
        <w:spacing w:after="0" w:line="232" w:lineRule="auto"/>
        <w:tabs>
          <w:tab w:leader="none" w:pos="1141" w:val="left"/>
        </w:tabs>
        <w:numPr>
          <w:ilvl w:val="0"/>
          <w:numId w:val="42"/>
        </w:numPr>
        <w:rPr>
          <w:rFonts w:ascii="Arial" w:cs="Arial" w:eastAsia="Arial" w:hAnsi="Arial"/>
          <w:sz w:val="20"/>
          <w:szCs w:val="20"/>
          <w:color w:val="auto"/>
        </w:rPr>
      </w:pPr>
      <w:r>
        <w:rPr>
          <w:rFonts w:ascii="Arial" w:cs="Arial" w:eastAsia="Arial" w:hAnsi="Arial"/>
          <w:sz w:val="22"/>
          <w:szCs w:val="22"/>
          <w:color w:val="auto"/>
        </w:rPr>
        <w:t>any zoning or similar law or right reserved to or vested in any Governmental Authority to control or regulate the use of any real property that does not materially detract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119" w:name="page120"/>
    <w:bookmarkEnd w:id="119"/>
    <w:p>
      <w:pPr>
        <w:spacing w:after="0" w:line="232" w:lineRule="auto"/>
        <w:rPr>
          <w:sz w:val="20"/>
          <w:szCs w:val="20"/>
          <w:color w:val="auto"/>
        </w:rPr>
      </w:pPr>
      <w:r>
        <w:rPr>
          <w:rFonts w:ascii="Arial" w:cs="Arial" w:eastAsia="Arial" w:hAnsi="Arial"/>
          <w:sz w:val="22"/>
          <w:szCs w:val="22"/>
          <w:color w:val="auto"/>
        </w:rPr>
        <w:t>the value of the affected property or interfere with the ordinary conduct of the business of Parent and its Subsidiaries, taken as a whole;</w:t>
      </w:r>
    </w:p>
    <w:p>
      <w:pPr>
        <w:spacing w:after="0" w:line="159" w:lineRule="exact"/>
        <w:rPr>
          <w:sz w:val="20"/>
          <w:szCs w:val="20"/>
          <w:color w:val="auto"/>
        </w:rPr>
      </w:pPr>
    </w:p>
    <w:p>
      <w:pPr>
        <w:ind w:firstLine="656"/>
        <w:spacing w:after="0" w:line="298" w:lineRule="auto"/>
        <w:tabs>
          <w:tab w:leader="none" w:pos="1182" w:val="left"/>
        </w:tabs>
        <w:numPr>
          <w:ilvl w:val="0"/>
          <w:numId w:val="43"/>
        </w:numPr>
        <w:rPr>
          <w:rFonts w:ascii="Arial" w:cs="Arial" w:eastAsia="Arial" w:hAnsi="Arial"/>
          <w:sz w:val="18"/>
          <w:szCs w:val="18"/>
          <w:color w:val="auto"/>
        </w:rPr>
      </w:pPr>
      <w:r>
        <w:rPr>
          <w:rFonts w:ascii="Arial" w:cs="Arial" w:eastAsia="Arial" w:hAnsi="Arial"/>
          <w:sz w:val="19"/>
          <w:szCs w:val="19"/>
          <w:color w:val="auto"/>
        </w:rPr>
        <w:t>Liens encumbering reasonable customary initial deposits and margin deposits and Liens attaching to commodity trading accounts or other brokerage accounts incurred in the ordinary course of business and not for speculative purposes;</w:t>
      </w:r>
    </w:p>
    <w:p>
      <w:pPr>
        <w:spacing w:after="0" w:line="105" w:lineRule="exact"/>
        <w:rPr>
          <w:rFonts w:ascii="Arial" w:cs="Arial" w:eastAsia="Arial" w:hAnsi="Arial"/>
          <w:sz w:val="18"/>
          <w:szCs w:val="18"/>
          <w:color w:val="auto"/>
        </w:rPr>
      </w:pPr>
    </w:p>
    <w:p>
      <w:pPr>
        <w:ind w:firstLine="656"/>
        <w:spacing w:after="0" w:line="232" w:lineRule="auto"/>
        <w:tabs>
          <w:tab w:leader="none" w:pos="1222" w:val="left"/>
        </w:tabs>
        <w:numPr>
          <w:ilvl w:val="0"/>
          <w:numId w:val="43"/>
        </w:numPr>
        <w:rPr>
          <w:rFonts w:ascii="Arial" w:cs="Arial" w:eastAsia="Arial" w:hAnsi="Arial"/>
          <w:sz w:val="20"/>
          <w:szCs w:val="20"/>
          <w:color w:val="auto"/>
        </w:rPr>
      </w:pPr>
      <w:r>
        <w:rPr>
          <w:rFonts w:ascii="Arial" w:cs="Arial" w:eastAsia="Arial" w:hAnsi="Arial"/>
          <w:sz w:val="22"/>
          <w:szCs w:val="22"/>
          <w:color w:val="auto"/>
        </w:rPr>
        <w:t>Liens given to a public utility or any Governmental Authority when required by such utility or Governmental Authority in connection with the operations of that Person in the ordinary course of its business;</w:t>
      </w:r>
    </w:p>
    <w:p>
      <w:pPr>
        <w:spacing w:after="0" w:line="158" w:lineRule="exact"/>
        <w:rPr>
          <w:rFonts w:ascii="Arial" w:cs="Arial" w:eastAsia="Arial" w:hAnsi="Arial"/>
          <w:sz w:val="20"/>
          <w:szCs w:val="20"/>
          <w:color w:val="auto"/>
        </w:rPr>
      </w:pPr>
    </w:p>
    <w:p>
      <w:pPr>
        <w:ind w:left="1080" w:hanging="424"/>
        <w:spacing w:after="0"/>
        <w:tabs>
          <w:tab w:leader="none" w:pos="1080" w:val="left"/>
        </w:tabs>
        <w:numPr>
          <w:ilvl w:val="0"/>
          <w:numId w:val="43"/>
        </w:numPr>
        <w:rPr>
          <w:rFonts w:ascii="Arial" w:cs="Arial" w:eastAsia="Arial" w:hAnsi="Arial"/>
          <w:sz w:val="19"/>
          <w:szCs w:val="19"/>
          <w:color w:val="auto"/>
        </w:rPr>
      </w:pPr>
      <w:r>
        <w:rPr>
          <w:rFonts w:ascii="Arial" w:cs="Arial" w:eastAsia="Arial" w:hAnsi="Arial"/>
          <w:sz w:val="21"/>
          <w:szCs w:val="21"/>
          <w:color w:val="auto"/>
        </w:rPr>
        <w:t>operating leases of vehicles or equipment which are entered into in the ordinary course of the business; and</w:t>
      </w:r>
    </w:p>
    <w:p>
      <w:pPr>
        <w:spacing w:after="0" w:line="190" w:lineRule="exact"/>
        <w:rPr>
          <w:rFonts w:ascii="Arial" w:cs="Arial" w:eastAsia="Arial" w:hAnsi="Arial"/>
          <w:sz w:val="19"/>
          <w:szCs w:val="19"/>
          <w:color w:val="auto"/>
        </w:rPr>
      </w:pPr>
    </w:p>
    <w:p>
      <w:pPr>
        <w:jc w:val="both"/>
        <w:ind w:firstLine="656"/>
        <w:spacing w:after="0" w:line="223" w:lineRule="auto"/>
        <w:tabs>
          <w:tab w:leader="none" w:pos="1130" w:val="left"/>
        </w:tabs>
        <w:numPr>
          <w:ilvl w:val="0"/>
          <w:numId w:val="43"/>
        </w:numPr>
        <w:rPr>
          <w:rFonts w:ascii="Arial" w:cs="Arial" w:eastAsia="Arial" w:hAnsi="Arial"/>
          <w:sz w:val="20"/>
          <w:szCs w:val="20"/>
          <w:color w:val="auto"/>
        </w:rPr>
      </w:pPr>
      <w:r>
        <w:rPr>
          <w:rFonts w:ascii="Arial" w:cs="Arial" w:eastAsia="Arial" w:hAnsi="Arial"/>
          <w:sz w:val="22"/>
          <w:szCs w:val="22"/>
          <w:color w:val="auto"/>
        </w:rPr>
        <w:t>customary restrictions in any license agreement with the Borrower as a licensee, including without limitation, with respect to the sale of inventory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give the Administrative Agent prompt notice of the execution of any such license agreement).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Holders</w:t>
      </w:r>
      <w:r>
        <w:rPr>
          <w:rFonts w:ascii="Arial" w:cs="Arial" w:eastAsia="Arial" w:hAnsi="Arial"/>
          <w:sz w:val="22"/>
          <w:szCs w:val="22"/>
          <w:color w:val="auto"/>
        </w:rPr>
        <w:t>” means one or more of AES and Siemens.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Refinancing</w:t>
      </w:r>
      <w:r>
        <w:rPr>
          <w:rFonts w:ascii="Arial" w:cs="Arial" w:eastAsia="Arial" w:hAnsi="Arial"/>
          <w:sz w:val="19"/>
          <w:szCs w:val="19"/>
          <w:color w:val="auto"/>
        </w:rPr>
        <w:t xml:space="preserve">” means, with respect to any Indebtedness, any Indebtedness constituting a refinancing or replacement thereof so long as (a) on the date of such refinancing or replacement, no Event of Default shall have occurred and be continuing or would arise therefrom; (b) any such refinancing or replacement Indebtedness shall (i) not have a stated maturity or, other than in the case of a revolving credit facility, a weighted average life to maturity that is shorter than that of the Indebtedness being refinanced or replaced, (ii) if the Indebtedness being refinanced or replaced (or the Liens securing such Indebtedness) is subordinated to the Obligations (or to the Liens securing the Obligations, if applicable) by its terms or by the terms of any agreement or instrument relating to such Indebtedness, be (and be secured by Liens, if applicable) at least as subordinate to the Obligations (or to the Liens securing the Obligations) as the Indebtedness being refinanced or replaced (and unsecured if the refinanced or replaced Indebtedness is unsecured) and (iii) be in a principal amount that does not exceed the principal amount so refinanced or replaced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interest, any customary premium or other payment required to be paid in connection with such refinancing or replacement, the amount of customary fees and expenses of the Borrower or any of its Subsidiaries incurred in connection with such refinancing or replacement,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any unutilized commitments thereunder; and (c) the obligors on such refinancing or replacement Indebtedness shall be the obligors on such Indebtedness being refinanced or replaced;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Party shall be permitted to guarantee any such refinancing or replacement Indebtedness of any other Loan Party.</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Third Party Bank</w:t>
      </w:r>
      <w:r>
        <w:rPr>
          <w:rFonts w:ascii="Arial" w:cs="Arial" w:eastAsia="Arial" w:hAnsi="Arial"/>
          <w:sz w:val="22"/>
          <w:szCs w:val="22"/>
          <w:color w:val="auto"/>
        </w:rPr>
        <w:t xml:space="preserve"> ” means any bank or other financial institution, other than the Lenders, with whom any U.S. Loan Party maintains a Controlled Account.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Warrant Transaction</w:t>
      </w:r>
      <w:r>
        <w:rPr>
          <w:rFonts w:ascii="Arial" w:cs="Arial" w:eastAsia="Arial" w:hAnsi="Arial"/>
          <w:sz w:val="22"/>
          <w:szCs w:val="22"/>
          <w:color w:val="auto"/>
        </w:rPr>
        <w:t>” means any call option, warrant or right to purchase (or substantively equivalent derivative transaction) on the Parent’s common stock sold by the Parent substantially concurrently with any purchase by the Parent of a related Permitted Bond Hedge Transaction.</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Philippines Collateral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5.11(f)</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01" w:right="339" w:bottom="1440" w:gutter="0" w:footer="0" w:header="0"/>
        </w:sectPr>
      </w:pPr>
    </w:p>
    <w:bookmarkStart w:id="120" w:name="page121"/>
    <w:bookmarkEnd w:id="120"/>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Philippines Guarantors</w:t>
      </w:r>
      <w:r>
        <w:rPr>
          <w:rFonts w:ascii="Arial" w:cs="Arial" w:eastAsia="Arial" w:hAnsi="Arial"/>
          <w:sz w:val="22"/>
          <w:szCs w:val="22"/>
          <w:color w:val="auto"/>
        </w:rPr>
        <w:t>” means the Guarantors organized under the laws of the Philippines, including Fluence Energy Philippines.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Philippines SEC</w:t>
      </w:r>
      <w:r>
        <w:rPr>
          <w:rFonts w:ascii="Arial" w:cs="Arial" w:eastAsia="Arial" w:hAnsi="Arial"/>
          <w:sz w:val="22"/>
          <w:szCs w:val="22"/>
          <w:color w:val="auto"/>
        </w:rPr>
        <w:t>” means the Securities and Exchange Commission of the Philippines.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Philippines Secured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5.11(f)</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Philippine Security Documents</w:t>
      </w:r>
      <w:r>
        <w:rPr>
          <w:rFonts w:ascii="Arial" w:cs="Arial" w:eastAsia="Arial" w:hAnsi="Arial"/>
          <w:sz w:val="19"/>
          <w:szCs w:val="19"/>
          <w:color w:val="auto"/>
        </w:rPr>
        <w:t xml:space="preserve">” means the (a) Fluence Energy Philippines Guaranty and (b) one or more security agreements in favor of the Administrative Agent pursuant to which any Lien governed or expressed to be governed by the laws of the Republic of the Philippines, which agreements shall be granted in accordance with the Agreed Security Principles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5.11(f)</w:t>
      </w:r>
      <w:r>
        <w:rPr>
          <w:rFonts w:ascii="Arial" w:cs="Arial" w:eastAsia="Arial" w:hAnsi="Arial"/>
          <w:sz w:val="19"/>
          <w:szCs w:val="19"/>
          <w:color w:val="auto"/>
        </w:rPr>
        <w:t>, in each case, as may be amended, restated, supplemented or otherwise modified from time to time.</w:t>
      </w:r>
    </w:p>
    <w:p>
      <w:pPr>
        <w:spacing w:after="0" w:line="13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means any “employee benefit plan” as defined in Section 3 of ERISA (other than a Multiemployer Plan) subject to the provisions of Title IV of ERISA or Section 412 of the Code or Section 302 of ERISA maintained or contributed to by the Parent, the Borrower, a Subsidiary or any ERISA Affiliate or to which the Parent, the Borrower, a Subsidiary or an ERISA Affiliate has or would have an obligation to contribute, and each such plan subject to the provisions of Title IV of ERISA or Section 412 of the Code or Section 302 of ERISA for the five-year period immediately following the latest date on which the Parent, the Borrower, a Subsidiary or an ERISA Affiliate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Platform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Pounds Sterling</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 the lawful currency of the United Kingdom.</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Prime Rate</w:t>
      </w:r>
      <w:r>
        <w:rPr>
          <w:rFonts w:ascii="Arial" w:cs="Arial" w:eastAsia="Arial" w:hAnsi="Arial"/>
          <w:sz w:val="22"/>
          <w:szCs w:val="22"/>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Office</w:t>
      </w:r>
      <w:r>
        <w:rPr>
          <w:rFonts w:ascii="Arial" w:cs="Arial" w:eastAsia="Arial" w:hAnsi="Arial"/>
          <w:sz w:val="22"/>
          <w:szCs w:val="22"/>
          <w:color w:val="auto"/>
        </w:rPr>
        <w:t xml:space="preserve">” means the office of the Administrative Agent as set forth in </w:t>
      </w:r>
      <w:r>
        <w:rPr>
          <w:rFonts w:ascii="Arial" w:cs="Arial" w:eastAsia="Arial" w:hAnsi="Arial"/>
          <w:sz w:val="22"/>
          <w:szCs w:val="22"/>
          <w:u w:val="single" w:color="auto"/>
          <w:color w:val="auto"/>
        </w:rPr>
        <w:t>Section 10.01</w:t>
      </w:r>
      <w:r>
        <w:rPr>
          <w:rFonts w:ascii="Arial" w:cs="Arial" w:eastAsia="Arial" w:hAnsi="Arial"/>
          <w:sz w:val="22"/>
          <w:szCs w:val="22"/>
          <w:color w:val="auto"/>
        </w:rPr>
        <w:t>, or such other office or office of a third party or sub-agent, as appropriate, as the Administrative Agent may from time to time designate in writing to Borrower and each Lender.</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Forma Basis</w:t>
      </w:r>
      <w:r>
        <w:rPr>
          <w:rFonts w:ascii="Arial" w:cs="Arial" w:eastAsia="Arial" w:hAnsi="Arial"/>
          <w:sz w:val="22"/>
          <w:szCs w:val="22"/>
          <w:color w:val="auto"/>
        </w:rPr>
        <w:t>” or “</w:t>
      </w:r>
      <w:r>
        <w:rPr>
          <w:rFonts w:ascii="Arial" w:cs="Arial" w:eastAsia="Arial" w:hAnsi="Arial"/>
          <w:sz w:val="22"/>
          <w:szCs w:val="22"/>
          <w:b w:val="1"/>
          <w:bCs w:val="1"/>
          <w:color w:val="auto"/>
        </w:rPr>
        <w:t>Pro Forma Effect</w:t>
      </w:r>
      <w:r>
        <w:rPr>
          <w:rFonts w:ascii="Arial" w:cs="Arial" w:eastAsia="Arial" w:hAnsi="Arial"/>
          <w:sz w:val="22"/>
          <w:szCs w:val="22"/>
          <w:color w:val="auto"/>
        </w:rPr>
        <w:t xml:space="preserve">” means,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2"/>
          <w:szCs w:val="22"/>
          <w:u w:val="single" w:color="auto"/>
          <w:color w:val="auto"/>
        </w:rPr>
        <w:t>Section 1.09</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Proceeds</w:t>
      </w:r>
      <w:r>
        <w:rPr>
          <w:rFonts w:ascii="Arial" w:cs="Arial" w:eastAsia="Arial" w:hAnsi="Arial"/>
          <w:sz w:val="22"/>
          <w:szCs w:val="22"/>
          <w:color w:val="auto"/>
        </w:rPr>
        <w:t>”: all “proceeds” as such term is defined in Section 9-102(a)(64) of the New York UCC and, in any event, shall include, without limitation, all dividends or other income from investment property, collections thereon or distributions or payments with respect thereto.</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Money Indebtedness</w:t>
      </w:r>
      <w:r>
        <w:rPr>
          <w:rFonts w:ascii="Arial" w:cs="Arial" w:eastAsia="Arial" w:hAnsi="Arial"/>
          <w:sz w:val="22"/>
          <w:szCs w:val="22"/>
          <w:color w:val="auto"/>
        </w:rPr>
        <w:t>” means Indebtedness incurred to finance the acquisition, construction or improvement of any fixed or capital asset to the extent incurred prior to or within 180 days following such acquisition, construction or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395" w:right="339" w:bottom="1440" w:gutter="0" w:footer="0" w:header="0"/>
        </w:sectPr>
      </w:pPr>
    </w:p>
    <w:bookmarkStart w:id="121" w:name="page122"/>
    <w:bookmarkEnd w:id="121"/>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 Credit Support</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10.18</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Keepwell Provider</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9.01(i)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Reference Banks</w:t>
      </w:r>
      <w:r>
        <w:rPr>
          <w:rFonts w:ascii="Arial" w:cs="Arial" w:eastAsia="Arial" w:hAnsi="Arial"/>
          <w:sz w:val="21"/>
          <w:szCs w:val="21"/>
          <w:color w:val="auto"/>
        </w:rPr>
        <w:t>” shall mean Commonwealth Bank of Australia, Westpac Banking Corporation, National Australia Bank or Australia and New Zealand Banking Group Limited or such other bank or financial institution agreed in writing by the Administrative Agent and the Borrower from time to time that actively trades or lends Australian Dollars.</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Time</w:t>
      </w:r>
      <w:r>
        <w:rPr>
          <w:rFonts w:ascii="Arial" w:cs="Arial" w:eastAsia="Arial" w:hAnsi="Arial"/>
          <w:sz w:val="19"/>
          <w:szCs w:val="19"/>
          <w:color w:val="auto"/>
        </w:rPr>
        <w:t xml:space="preserve">” with respect to any setting of the then-current Benchmark means (1) if such Benchmark is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Term SOFR</w:t>
      </w:r>
      <w:r>
        <w:rPr>
          <w:rFonts w:ascii="Arial" w:cs="Arial" w:eastAsia="Arial" w:hAnsi="Arial"/>
          <w:sz w:val="19"/>
          <w:szCs w:val="19"/>
          <w:color w:val="0000FF"/>
        </w:rPr>
        <w:t xml:space="preserve"> </w:t>
      </w:r>
      <w:r>
        <w:rPr>
          <w:rFonts w:ascii="Arial" w:cs="Arial" w:eastAsia="Arial" w:hAnsi="Arial"/>
          <w:sz w:val="19"/>
          <w:szCs w:val="19"/>
          <w:color w:val="000000"/>
        </w:rPr>
        <w:t>Rate,</w:t>
      </w:r>
      <w:r>
        <w:rPr>
          <w:rFonts w:ascii="Arial" w:cs="Arial" w:eastAsia="Arial" w:hAnsi="Arial"/>
          <w:sz w:val="19"/>
          <w:szCs w:val="19"/>
          <w:color w:val="0000FF"/>
        </w:rPr>
        <w:t xml:space="preserve"> </w:t>
      </w:r>
      <w:r>
        <w:rPr>
          <w:rFonts w:ascii="Arial" w:cs="Arial" w:eastAsia="Arial" w:hAnsi="Arial"/>
          <w:sz w:val="19"/>
          <w:szCs w:val="19"/>
          <w:color w:val="FF0000"/>
          <w:strike w:val="1"/>
        </w:rPr>
        <w:t>11</w:t>
      </w:r>
      <w:r>
        <w:rPr>
          <w:rFonts w:ascii="Arial" w:cs="Arial" w:eastAsia="Arial" w:hAnsi="Arial"/>
          <w:sz w:val="19"/>
          <w:szCs w:val="19"/>
          <w:u w:val="single" w:color="auto"/>
          <w:color w:val="0000FF"/>
        </w:rPr>
        <w:t>8</w:t>
      </w:r>
      <w:r>
        <w:rPr>
          <w:rFonts w:ascii="Arial" w:cs="Arial" w:eastAsia="Arial" w:hAnsi="Arial"/>
          <w:sz w:val="19"/>
          <w:szCs w:val="19"/>
          <w:color w:val="000000"/>
        </w:rPr>
        <w:t>:00 a.m. (</w:t>
      </w:r>
      <w:r>
        <w:rPr>
          <w:rFonts w:ascii="Arial" w:cs="Arial" w:eastAsia="Arial" w:hAnsi="Arial"/>
          <w:sz w:val="19"/>
          <w:szCs w:val="19"/>
          <w:color w:val="FF0000"/>
          <w:strike w:val="1"/>
        </w:rPr>
        <w:t>London</w:t>
      </w:r>
      <w:r>
        <w:rPr>
          <w:rFonts w:ascii="Arial" w:cs="Arial" w:eastAsia="Arial" w:hAnsi="Arial"/>
          <w:sz w:val="19"/>
          <w:szCs w:val="19"/>
          <w:u w:val="single" w:color="auto"/>
          <w:color w:val="0000FF"/>
        </w:rPr>
        <w:t>New York</w:t>
      </w:r>
      <w:r>
        <w:rPr>
          <w:rFonts w:ascii="Arial" w:cs="Arial" w:eastAsia="Arial" w:hAnsi="Arial"/>
          <w:sz w:val="19"/>
          <w:szCs w:val="19"/>
          <w:color w:val="0000FF"/>
        </w:rPr>
        <w:t xml:space="preserve"> </w:t>
      </w:r>
      <w:r>
        <w:rPr>
          <w:rFonts w:ascii="Arial" w:cs="Arial" w:eastAsia="Arial" w:hAnsi="Arial"/>
          <w:sz w:val="19"/>
          <w:szCs w:val="19"/>
          <w:color w:val="000000"/>
        </w:rPr>
        <w:t>time) on the day that is two</w:t>
      </w:r>
      <w:r>
        <w:rPr>
          <w:rFonts w:ascii="Arial" w:cs="Arial" w:eastAsia="Arial" w:hAnsi="Arial"/>
          <w:sz w:val="19"/>
          <w:szCs w:val="19"/>
          <w:color w:val="0000FF"/>
        </w:rPr>
        <w:t xml:space="preserve"> </w:t>
      </w:r>
      <w:r>
        <w:rPr>
          <w:rFonts w:ascii="Arial" w:cs="Arial" w:eastAsia="Arial" w:hAnsi="Arial"/>
          <w:sz w:val="19"/>
          <w:szCs w:val="19"/>
          <w:color w:val="FF0000"/>
          <w:strike w:val="1"/>
        </w:rPr>
        <w:t>London banking</w:t>
      </w:r>
      <w:r>
        <w:rPr>
          <w:rFonts w:ascii="Arial" w:cs="Arial" w:eastAsia="Arial" w:hAnsi="Arial"/>
          <w:sz w:val="19"/>
          <w:szCs w:val="19"/>
          <w:u w:val="single" w:color="auto"/>
          <w:color w:val="0000FF"/>
        </w:rPr>
        <w:t>U.S. Government Securities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Business</w:t>
      </w:r>
      <w:r>
        <w:rPr>
          <w:rFonts w:ascii="Arial" w:cs="Arial" w:eastAsia="Arial" w:hAnsi="Arial"/>
          <w:sz w:val="19"/>
          <w:szCs w:val="19"/>
          <w:color w:val="0000FF"/>
        </w:rPr>
        <w:t xml:space="preserve"> </w:t>
      </w:r>
      <w:r>
        <w:rPr>
          <w:rFonts w:ascii="Arial" w:cs="Arial" w:eastAsia="Arial" w:hAnsi="Arial"/>
          <w:sz w:val="19"/>
          <w:szCs w:val="19"/>
          <w:color w:val="FF0000"/>
          <w:strike w:val="1"/>
        </w:rPr>
        <w:t>d</w:t>
      </w:r>
      <w:r>
        <w:rPr>
          <w:rFonts w:ascii="Arial" w:cs="Arial" w:eastAsia="Arial" w:hAnsi="Arial"/>
          <w:sz w:val="19"/>
          <w:szCs w:val="19"/>
          <w:u w:val="single" w:color="auto"/>
          <w:color w:val="0000FF"/>
        </w:rPr>
        <w:t>D</w:t>
      </w:r>
      <w:r>
        <w:rPr>
          <w:rFonts w:ascii="Arial" w:cs="Arial" w:eastAsia="Arial" w:hAnsi="Arial"/>
          <w:sz w:val="19"/>
          <w:szCs w:val="19"/>
          <w:color w:val="000000"/>
        </w:rPr>
        <w:t>ays preceding the date of such setting, (2) if such Benchmark is EURIBOR Rate, 11:00 a.m. Brussels time two</w:t>
      </w:r>
      <w:r>
        <w:rPr>
          <w:rFonts w:ascii="Arial" w:cs="Arial" w:eastAsia="Arial" w:hAnsi="Arial"/>
          <w:sz w:val="19"/>
          <w:szCs w:val="19"/>
          <w:color w:val="0000FF"/>
        </w:rPr>
        <w:t xml:space="preserve"> </w:t>
      </w:r>
      <w:r>
        <w:rPr>
          <w:rFonts w:ascii="Arial" w:cs="Arial" w:eastAsia="Arial" w:hAnsi="Arial"/>
          <w:sz w:val="19"/>
          <w:szCs w:val="19"/>
          <w:color w:val="000000"/>
        </w:rPr>
        <w:t xml:space="preserve">TARGET Days preceding the date of such setting, (3) if the RFR for such Benchmark is SONIA, then 11:00 a.m. (London time) on the day that is four Business Days prior to such setting, (4) if such Benchmark is AUD Rate, 11:00 a.m. Sydney, Australia time two Business Days preceding the date of such setting or (5) if such Benchmark is not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Rate, the EURIBOR Rate, AUD Rate or SONIA, the time determined by the Administrative Agent in its reasonable discretion.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10.04(b)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D</w:t>
      </w:r>
      <w:r>
        <w:rPr>
          <w:rFonts w:ascii="Arial" w:cs="Arial" w:eastAsia="Arial" w:hAnsi="Arial"/>
          <w:sz w:val="22"/>
          <w:szCs w:val="22"/>
          <w:color w:val="auto"/>
        </w:rPr>
        <w:t>” means Regulation D of the Federal Reserve Board, as in effect from time to time and all official rulings and interpretations thereunder or thereof.</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U</w:t>
      </w:r>
      <w:r>
        <w:rPr>
          <w:rFonts w:ascii="Arial" w:cs="Arial" w:eastAsia="Arial" w:hAnsi="Arial"/>
          <w:sz w:val="22"/>
          <w:szCs w:val="22"/>
          <w:color w:val="auto"/>
        </w:rPr>
        <w:t>” means Regulation U of the Federal Reserve Board, as in effect from time to time and all official rulings and interpretations thereunder or thereof.</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X</w:t>
      </w:r>
      <w:r>
        <w:rPr>
          <w:rFonts w:ascii="Arial" w:cs="Arial" w:eastAsia="Arial" w:hAnsi="Arial"/>
          <w:sz w:val="22"/>
          <w:szCs w:val="22"/>
          <w:color w:val="auto"/>
        </w:rPr>
        <w:t>” means Regulation X of the Federal Reserve Board, as in effect from time to time and all official rulings and interpretations thereunder or thereof.</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Parties</w:t>
      </w:r>
      <w:r>
        <w:rPr>
          <w:rFonts w:ascii="Arial" w:cs="Arial" w:eastAsia="Arial" w:hAnsi="Arial"/>
          <w:sz w:val="22"/>
          <w:szCs w:val="22"/>
          <w:color w:val="auto"/>
        </w:rPr>
        <w:t>” means, with respect to any specified Person, such Person’s Affiliates and the respective directors, officers, employees, agents and advisors of such Person and such Person’s Affiliates.</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Governmental Body</w:t>
      </w:r>
      <w:r>
        <w:rPr>
          <w:rFonts w:ascii="Arial" w:cs="Arial" w:eastAsia="Arial" w:hAnsi="Arial"/>
          <w:sz w:val="19"/>
          <w:szCs w:val="19"/>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395" w:right="33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a group of those central banks or other supervisors or (4) the Financial Stability Board or any part thereof.</w:t>
      </w:r>
    </w:p>
    <w:p>
      <w:pPr>
        <w:spacing w:after="0" w:line="17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Rate</w:t>
      </w:r>
      <w:r>
        <w:rPr>
          <w:rFonts w:ascii="Arial" w:cs="Arial" w:eastAsia="Arial" w:hAnsi="Arial"/>
          <w:sz w:val="22"/>
          <w:szCs w:val="22"/>
          <w:color w:val="auto"/>
        </w:rPr>
        <w:t xml:space="preserve">” means (i) with respect to any Term Benchmark Borrowing denominated in Dollars, the </w:t>
      </w:r>
      <w:r>
        <w:rPr>
          <w:rFonts w:ascii="Arial" w:cs="Arial" w:eastAsia="Arial" w:hAnsi="Arial"/>
          <w:sz w:val="22"/>
          <w:szCs w:val="22"/>
          <w:color w:val="FF0000"/>
          <w:strike w:val="1"/>
        </w:rPr>
        <w:t>LIBO</w:t>
      </w:r>
      <w:r>
        <w:rPr>
          <w:rFonts w:ascii="Arial" w:cs="Arial" w:eastAsia="Arial" w:hAnsi="Arial"/>
          <w:sz w:val="22"/>
          <w:szCs w:val="22"/>
          <w:u w:val="single" w:color="auto"/>
          <w:color w:val="0000FF"/>
        </w:rPr>
        <w:t>Adjusted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Term SOFR</w:t>
      </w:r>
      <w:r>
        <w:rPr>
          <w:rFonts w:ascii="Arial" w:cs="Arial" w:eastAsia="Arial" w:hAnsi="Arial"/>
          <w:sz w:val="22"/>
          <w:szCs w:val="22"/>
          <w:color w:val="0000FF"/>
        </w:rPr>
        <w:t xml:space="preserve"> </w:t>
      </w:r>
      <w:r>
        <w:rPr>
          <w:rFonts w:ascii="Arial" w:cs="Arial" w:eastAsia="Arial" w:hAnsi="Arial"/>
          <w:sz w:val="22"/>
          <w:szCs w:val="22"/>
          <w:color w:val="000000"/>
        </w:rPr>
        <w:t>Rate, (ii) with respect to any Term Benchmark Borrowing denominated in Euros, the EURIBOR Rate, (iii) with</w:t>
      </w:r>
      <w:r>
        <w:rPr>
          <w:rFonts w:ascii="Arial" w:cs="Arial" w:eastAsia="Arial" w:hAnsi="Arial"/>
          <w:sz w:val="22"/>
          <w:szCs w:val="22"/>
          <w:color w:val="0000FF"/>
        </w:rPr>
        <w:t xml:space="preserve"> </w:t>
      </w:r>
      <w:r>
        <w:rPr>
          <w:rFonts w:ascii="Arial" w:cs="Arial" w:eastAsia="Arial" w:hAnsi="Arial"/>
          <w:sz w:val="22"/>
          <w:szCs w:val="22"/>
          <w:color w:val="000000"/>
        </w:rPr>
        <w:t>respect to any Term Benchmark Borrowing denominated in Australian Dollars, the AUD Rate and (iv) with respect to any Borrowing denominated in Sterling, Daily Simple RFR.</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Screen Rate</w:t>
      </w:r>
      <w:r>
        <w:rPr>
          <w:rFonts w:ascii="Arial" w:cs="Arial" w:eastAsia="Arial" w:hAnsi="Arial"/>
          <w:sz w:val="22"/>
          <w:szCs w:val="22"/>
          <w:color w:val="auto"/>
        </w:rPr>
        <w:t xml:space="preserve">” means (i) with respect to any Term Benchmark Borrowing denominated in Dollars, the </w:t>
      </w:r>
      <w:r>
        <w:rPr>
          <w:rFonts w:ascii="Arial" w:cs="Arial" w:eastAsia="Arial" w:hAnsi="Arial"/>
          <w:sz w:val="22"/>
          <w:szCs w:val="22"/>
          <w:color w:val="FF0000"/>
          <w:strike w:val="1"/>
        </w:rPr>
        <w:t>LIBO</w:t>
      </w:r>
      <w:r>
        <w:rPr>
          <w:rFonts w:ascii="Arial" w:cs="Arial" w:eastAsia="Arial" w:hAnsi="Arial"/>
          <w:sz w:val="22"/>
          <w:szCs w:val="22"/>
          <w:color w:val="auto"/>
        </w:rPr>
        <w:t xml:space="preserve"> </w:t>
      </w:r>
      <w:r>
        <w:rPr>
          <w:rFonts w:ascii="Arial" w:cs="Arial" w:eastAsia="Arial" w:hAnsi="Arial"/>
          <w:sz w:val="22"/>
          <w:szCs w:val="22"/>
          <w:color w:val="FF0000"/>
          <w:strike w:val="1"/>
        </w:rPr>
        <w:t>Screen</w:t>
      </w:r>
      <w:r>
        <w:rPr>
          <w:rFonts w:ascii="Arial" w:cs="Arial" w:eastAsia="Arial" w:hAnsi="Arial"/>
          <w:sz w:val="22"/>
          <w:szCs w:val="22"/>
          <w:u w:val="single" w:color="auto"/>
          <w:color w:val="0000FF"/>
        </w:rPr>
        <w:t>Term SOFR Reference</w:t>
      </w:r>
      <w:r>
        <w:rPr>
          <w:rFonts w:ascii="Arial" w:cs="Arial" w:eastAsia="Arial" w:hAnsi="Arial"/>
          <w:sz w:val="22"/>
          <w:szCs w:val="22"/>
          <w:color w:val="FF0000"/>
        </w:rPr>
        <w:t xml:space="preserve"> </w:t>
      </w:r>
      <w:r>
        <w:rPr>
          <w:rFonts w:ascii="Arial" w:cs="Arial" w:eastAsia="Arial" w:hAnsi="Arial"/>
          <w:sz w:val="22"/>
          <w:szCs w:val="22"/>
          <w:color w:val="000000"/>
        </w:rPr>
        <w:t>Rate, (ii) with respect to any Term Benchmark Borrowing denominated in Euros, the EURIBOR</w:t>
      </w:r>
      <w:r>
        <w:rPr>
          <w:rFonts w:ascii="Arial" w:cs="Arial" w:eastAsia="Arial" w:hAnsi="Arial"/>
          <w:sz w:val="22"/>
          <w:szCs w:val="22"/>
          <w:color w:val="FF0000"/>
        </w:rPr>
        <w:t xml:space="preserve"> </w:t>
      </w:r>
      <w:r>
        <w:rPr>
          <w:rFonts w:ascii="Arial" w:cs="Arial" w:eastAsia="Arial" w:hAnsi="Arial"/>
          <w:sz w:val="22"/>
          <w:szCs w:val="22"/>
          <w:color w:val="000000"/>
        </w:rPr>
        <w:t>Screen Rate and (iii) with respect to any Term Benchmark Borrowing denominated in Australian Dollars, the AUD Screen Rate, as applicable.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Lenders</w:t>
      </w:r>
      <w:r>
        <w:rPr>
          <w:rFonts w:ascii="Arial" w:cs="Arial" w:eastAsia="Arial" w:hAnsi="Arial"/>
          <w:sz w:val="21"/>
          <w:szCs w:val="21"/>
          <w:color w:val="auto"/>
        </w:rPr>
        <w:t xml:space="preserve">” means, at any time, Lenders (a) having Revolving Credit Exposures and unused Commitments representing more than 50% of the sum of the total Revolving Credit Exposures and unused Commitments of all Lenders at such time, or (b) at any time after the Commitments of all Lenders shall have been terminated, holding more than 50% of the total Revolving Credit Exposures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this definition of “Required Lenders”, a Lender and its Affiliates shall be deemed to be one Lender. The Revolving Credit Exposure and Commitment of any Defaulting Lender shall be disregarded in determining Required Lenders at any time.</w:t>
      </w:r>
    </w:p>
    <w:p>
      <w:pPr>
        <w:spacing w:after="0" w:line="15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means any of the president, the chief executive officer or any Financial Officer of the applicable Loan Party, or any other Person designated by any such Loan Party in writing to the Administrative Agent from time to time, acting singly.</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Cash</w:t>
      </w:r>
      <w:r>
        <w:rPr>
          <w:rFonts w:ascii="Arial" w:cs="Arial" w:eastAsia="Arial" w:hAnsi="Arial"/>
          <w:sz w:val="22"/>
          <w:szCs w:val="22"/>
          <w:color w:val="auto"/>
        </w:rPr>
        <w:t>” means, at any time, the cash and Cash Equivalents of the Borrower to the extent (a) classified (or required to be classified) as restricted cash or restricted cash equivalents on the balance sheet of the Borrower in accordance with GAAP or (b) such cash or Cash Equivalents are subject to any Lien (other than (x) Liens in favor of the Secured Parties pursuant to the Security Documents and (y) Liens permitted pursuant to clauses (a), (b), (e), (l)(i) and (l)(iii) of Permitted Encumbrances and under Section 6.02(l)).</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Borrower or any Subsidiary of the Parent,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 For the avoidance of doubt, the receipt or acceptance by the Borrower or any Subsidiary of the return of Equity Interests issued by the Borrower or any Subsidiary to the seller of a Person, business or division as consideration for the purchase of such Person, business or division, which return is in settlement of indemnification claims owed by such seller in connection with such acquisition, shall not be deemed to be a Restricted Payment.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Reuters</w:t>
      </w:r>
      <w:r>
        <w:rPr>
          <w:rFonts w:ascii="Arial" w:cs="Arial" w:eastAsia="Arial" w:hAnsi="Arial"/>
          <w:sz w:val="22"/>
          <w:szCs w:val="22"/>
          <w:color w:val="auto"/>
        </w:rPr>
        <w:t>” means, as applicable, Thomson Reuters Corp., Refinitiv,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01" w:right="339" w:bottom="1440" w:gutter="0" w:footer="0" w:header="0"/>
        </w:sectPr>
      </w:pPr>
    </w:p>
    <w:bookmarkStart w:id="123" w:name="page124"/>
    <w:bookmarkEnd w:id="123"/>
    <w:p>
      <w:pPr>
        <w:jc w:val="both"/>
        <w:ind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Revaluation Date</w:t>
      </w:r>
      <w:r>
        <w:rPr>
          <w:rFonts w:ascii="Arial" w:cs="Arial" w:eastAsia="Arial" w:hAnsi="Arial"/>
          <w:sz w:val="19"/>
          <w:szCs w:val="19"/>
          <w:color w:val="auto"/>
        </w:rPr>
        <w:t>” shall mean (a) with respect to any Loan denominated in any Alternative Currency, each of the following: (i) the date of the Borrowing of such Loan, (ii) with respect to any Term Benchmark Loan, each date of a conversion into or continuation of such Loan pursuant to the terms of this Agreement, and (iii) with respect to any RFR Loan, each Interest Payment Date; (b) with respect to any Letter of Credit denominated in an Alternative Currency, each of the following: (i) the date on which such Letter of Credit is issued, (ii) the first Business Day of each calendar month, (iii) the date of any extension of such Letter of Credit, (iv) the date of any amendment of such letter of Credit that has the effect of increasing the face amount thereof and (v) each date of any payment by the applicable Issuing Bank under any Letter of Credit denominated in an Alternative Currency; (c) for purposes of calculating the Commitment Fee, the last day of any fiscal quarter; and (d) any additional date as the Administrative Agent may determine at any time when an Event of Default exists.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Exposure</w:t>
      </w:r>
      <w:r>
        <w:rPr>
          <w:rFonts w:ascii="Arial" w:cs="Arial" w:eastAsia="Arial" w:hAnsi="Arial"/>
          <w:sz w:val="22"/>
          <w:szCs w:val="22"/>
          <w:color w:val="auto"/>
        </w:rPr>
        <w:t>” means, with respect to any Lender at any time, the sum of the outstanding principal amount of such Lender’s Loans and its LC Exposure at such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RFR</w:t>
      </w:r>
      <w:r>
        <w:rPr>
          <w:rFonts w:ascii="Arial" w:cs="Arial" w:eastAsia="Arial" w:hAnsi="Arial"/>
          <w:sz w:val="22"/>
          <w:szCs w:val="22"/>
          <w:color w:val="auto"/>
        </w:rPr>
        <w:t>” means, for any RFR Loan denominated in Sterling, SONIA.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RFR Borrowing</w:t>
      </w:r>
      <w:r>
        <w:rPr>
          <w:rFonts w:ascii="Arial" w:cs="Arial" w:eastAsia="Arial" w:hAnsi="Arial"/>
          <w:sz w:val="22"/>
          <w:szCs w:val="22"/>
          <w:color w:val="auto"/>
        </w:rPr>
        <w:t>” means, as to any Borrowing, the RFR Loans comprising such Borrowing.</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RFR Business Day</w:t>
      </w:r>
      <w:r>
        <w:rPr>
          <w:rFonts w:ascii="Arial" w:cs="Arial" w:eastAsia="Arial" w:hAnsi="Arial"/>
          <w:sz w:val="22"/>
          <w:szCs w:val="22"/>
          <w:color w:val="auto"/>
        </w:rPr>
        <w:t>” means, for any Loan denominated in Sterling, any day except for (i) a Saturday, (ii) a Sunday or (iii) a day on which banks are closed for general business in London.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RFR Interest Day</w:t>
      </w:r>
      <w:r>
        <w:rPr>
          <w:rFonts w:ascii="Arial" w:cs="Arial" w:eastAsia="Arial" w:hAnsi="Arial"/>
          <w:sz w:val="22"/>
          <w:szCs w:val="22"/>
          <w:color w:val="auto"/>
        </w:rPr>
        <w:t>” has the meaning specified in the definition of “Daily Simple RFR”.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RFR Loan</w:t>
      </w:r>
      <w:r>
        <w:rPr>
          <w:rFonts w:ascii="Arial" w:cs="Arial" w:eastAsia="Arial" w:hAnsi="Arial"/>
          <w:sz w:val="22"/>
          <w:szCs w:val="22"/>
          <w:color w:val="auto"/>
        </w:rPr>
        <w:t>” means a Loan that bears interest at a rate based on Daily Simple RFR.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Rating Services, a Standard &amp; Poor’s Financial Services LLC business.</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Country</w:t>
      </w:r>
      <w:r>
        <w:rPr>
          <w:rFonts w:ascii="Arial" w:cs="Arial" w:eastAsia="Arial" w:hAnsi="Arial"/>
          <w:sz w:val="22"/>
          <w:szCs w:val="22"/>
          <w:color w:val="auto"/>
        </w:rPr>
        <w:t>” means, at any time, a country, region or territory which is the subject or target of any country-wide or territory-wide Sanctions (and, as of the Effective Date, Crimea, Cuba, Iran, North Korea and Syria).</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Sanctioned Person</w:t>
      </w:r>
      <w:r>
        <w:rPr>
          <w:rFonts w:ascii="Arial" w:cs="Arial" w:eastAsia="Arial" w:hAnsi="Arial"/>
          <w:sz w:val="19"/>
          <w:szCs w:val="19"/>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 member state, </w:t>
      </w:r>
      <w:r>
        <w:rPr>
          <w:rFonts w:ascii="Arial" w:cs="Arial" w:eastAsia="Arial" w:hAnsi="Arial"/>
          <w:sz w:val="19"/>
          <w:szCs w:val="19"/>
          <w:color w:val="FF0000"/>
          <w:strike w:val="1"/>
        </w:rPr>
        <w:t>Her</w:t>
      </w:r>
      <w:r>
        <w:rPr>
          <w:rFonts w:ascii="Arial" w:cs="Arial" w:eastAsia="Arial" w:hAnsi="Arial"/>
          <w:sz w:val="19"/>
          <w:szCs w:val="19"/>
          <w:u w:val="single" w:color="auto"/>
          <w:color w:val="0000FF"/>
        </w:rPr>
        <w:t>His</w:t>
      </w:r>
      <w:r>
        <w:rPr>
          <w:rFonts w:ascii="Arial" w:cs="Arial" w:eastAsia="Arial" w:hAnsi="Arial"/>
          <w:sz w:val="19"/>
          <w:szCs w:val="19"/>
          <w:color w:val="auto"/>
        </w:rPr>
        <w:t xml:space="preserve"> Majesty’s Treasury of the United Kingdom or any other applicable sanctions authority in which the Borrower and its Subsidiaries operate, (b) any Person operating, organized or resident in a Sanctioned Country or (c) any Person owned or controlled by any such Person or Persons described in the foregoing clauses (a) or (b), or (d) any Person otherwise the subject of any Sanctions.</w:t>
      </w:r>
    </w:p>
    <w:p>
      <w:pPr>
        <w:spacing w:after="0" w:line="14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xml:space="preserve">”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w:t>
      </w:r>
      <w:r>
        <w:rPr>
          <w:rFonts w:ascii="Arial" w:cs="Arial" w:eastAsia="Arial" w:hAnsi="Arial"/>
          <w:sz w:val="22"/>
          <w:szCs w:val="22"/>
          <w:color w:val="FF0000"/>
          <w:strike w:val="1"/>
        </w:rPr>
        <w:t>Her</w:t>
      </w:r>
      <w:r>
        <w:rPr>
          <w:rFonts w:ascii="Arial" w:cs="Arial" w:eastAsia="Arial" w:hAnsi="Arial"/>
          <w:sz w:val="22"/>
          <w:szCs w:val="22"/>
          <w:u w:val="single" w:color="auto"/>
          <w:color w:val="0000FF"/>
        </w:rPr>
        <w:t>His</w:t>
      </w:r>
      <w:r>
        <w:rPr>
          <w:rFonts w:ascii="Arial" w:cs="Arial" w:eastAsia="Arial" w:hAnsi="Arial"/>
          <w:sz w:val="22"/>
          <w:szCs w:val="22"/>
          <w:color w:val="auto"/>
        </w:rPr>
        <w:t xml:space="preserve"> Majesty’s Treasury of the United Kingdom or any other applicable sanctions authority in which the Borrower and its Subsidiaries operate.</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395" w:right="339" w:bottom="1440" w:gutter="0" w:footer="0" w:header="0"/>
        </w:sectPr>
      </w:pPr>
    </w:p>
    <w:bookmarkStart w:id="124" w:name="page125"/>
    <w:bookmarkEnd w:id="12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Secured Parties</w:t>
      </w:r>
      <w:r>
        <w:rPr>
          <w:rFonts w:ascii="Arial" w:cs="Arial" w:eastAsia="Arial" w:hAnsi="Arial"/>
          <w:sz w:val="22"/>
          <w:szCs w:val="22"/>
          <w:color w:val="auto"/>
        </w:rPr>
        <w:t>” has the meaning assigned to such term in the Security Agreement.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Security Agreement</w:t>
      </w:r>
      <w:r>
        <w:rPr>
          <w:rFonts w:ascii="Arial" w:cs="Arial" w:eastAsia="Arial" w:hAnsi="Arial"/>
          <w:sz w:val="19"/>
          <w:szCs w:val="19"/>
          <w:color w:val="auto"/>
        </w:rPr>
        <w:t>” means the Security Agreement, dated on or about the Effective Date, between the Borrower, the Parent, certain Subsidiaries of the Parent and the Administrative Agent for the benefit of the Secured Parties, as amended, supplemented or otherwise modified from time to time, including by each joinder agreement thereto.</w:t>
      </w:r>
    </w:p>
    <w:p>
      <w:pPr>
        <w:spacing w:after="0" w:line="12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Documents</w:t>
      </w:r>
      <w:r>
        <w:rPr>
          <w:rFonts w:ascii="Arial" w:cs="Arial" w:eastAsia="Arial" w:hAnsi="Arial"/>
          <w:sz w:val="22"/>
          <w:szCs w:val="22"/>
          <w:color w:val="auto"/>
        </w:rPr>
        <w:t>” means the collective reference to the Security Agreement, Foreign Security Agreements, the Control Account Agreements and all other security documents hereafter delivered to the Administrative Agent by a Loan Party granting or perfecting a Lien on any property or right of any person to secure the obligations and liabilities of any Loan Party under any Loan Document.</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 Loan Agreement</w:t>
      </w:r>
      <w:r>
        <w:rPr>
          <w:rFonts w:ascii="Arial" w:cs="Arial" w:eastAsia="Arial" w:hAnsi="Arial"/>
          <w:sz w:val="22"/>
          <w:szCs w:val="22"/>
          <w:color w:val="auto"/>
        </w:rPr>
        <w:t>” means, collectively, (i) the Promissory Note, dated August 11, 2021, issued by the Borrower to Siemens Industry, Inc. and (ii) the Promissory Note, dated August 11, 2021, issued by the Borrower to AES Grig Stability, LLC.</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Shortfall Amount</w:t>
      </w:r>
      <w:r>
        <w:rPr>
          <w:rFonts w:ascii="Arial" w:cs="Arial" w:eastAsia="Arial" w:hAnsi="Arial"/>
          <w:sz w:val="22"/>
          <w:szCs w:val="22"/>
          <w:color w:val="auto"/>
        </w:rPr>
        <w:t>” means the amount by which the Maximum Amount exceeds the Distributed Amount.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Siemens</w:t>
      </w:r>
      <w:r>
        <w:rPr>
          <w:rFonts w:ascii="Arial" w:cs="Arial" w:eastAsia="Arial" w:hAnsi="Arial"/>
          <w:sz w:val="22"/>
          <w:szCs w:val="22"/>
          <w:color w:val="auto"/>
        </w:rPr>
        <w:t>” refers to Siemens AG, a company incorporated under the laws of Germany, and its subsidiaries and affiliates, including Siemens Industry, Inc., a Delaware corporation.</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w:t>
      </w:r>
      <w:r>
        <w:rPr>
          <w:rFonts w:ascii="Arial" w:cs="Arial" w:eastAsia="Arial" w:hAnsi="Arial"/>
          <w:sz w:val="22"/>
          <w:szCs w:val="22"/>
          <w:color w:val="auto"/>
        </w:rPr>
        <w:t>” means</w:t>
      </w:r>
      <w:r>
        <w:rPr>
          <w:rFonts w:ascii="Arial" w:cs="Arial" w:eastAsia="Arial" w:hAnsi="Arial"/>
          <w:sz w:val="22"/>
          <w:szCs w:val="22"/>
          <w:color w:val="FF0000"/>
          <w:strike w:val="1"/>
        </w:rPr>
        <w:t>, with respect to any Business Day,</w:t>
      </w:r>
      <w:r>
        <w:rPr>
          <w:rFonts w:ascii="Arial" w:cs="Arial" w:eastAsia="Arial" w:hAnsi="Arial"/>
          <w:sz w:val="22"/>
          <w:szCs w:val="22"/>
          <w:color w:val="auto"/>
        </w:rPr>
        <w:t xml:space="preserve"> a rate </w:t>
      </w:r>
      <w:r>
        <w:rPr>
          <w:rFonts w:ascii="Arial" w:cs="Arial" w:eastAsia="Arial" w:hAnsi="Arial"/>
          <w:sz w:val="22"/>
          <w:szCs w:val="22"/>
          <w:color w:val="FF0000"/>
          <w:strike w:val="1"/>
        </w:rPr>
        <w:t>per annum</w:t>
      </w:r>
      <w:r>
        <w:rPr>
          <w:rFonts w:ascii="Arial" w:cs="Arial" w:eastAsia="Arial" w:hAnsi="Arial"/>
          <w:sz w:val="22"/>
          <w:szCs w:val="22"/>
          <w:color w:val="auto"/>
        </w:rPr>
        <w:t xml:space="preserve"> equal to the secured overnight financing rate </w:t>
      </w:r>
      <w:r>
        <w:rPr>
          <w:rFonts w:ascii="Arial" w:cs="Arial" w:eastAsia="Arial" w:hAnsi="Arial"/>
          <w:sz w:val="22"/>
          <w:szCs w:val="22"/>
          <w:color w:val="FF0000"/>
          <w:strike w:val="1"/>
        </w:rPr>
        <w:t>for such</w:t>
      </w:r>
      <w:r>
        <w:rPr>
          <w:rFonts w:ascii="Arial" w:cs="Arial" w:eastAsia="Arial" w:hAnsi="Arial"/>
          <w:sz w:val="22"/>
          <w:szCs w:val="22"/>
          <w:color w:val="auto"/>
        </w:rPr>
        <w:t xml:space="preserve"> </w:t>
      </w:r>
      <w:r>
        <w:rPr>
          <w:rFonts w:ascii="Arial" w:cs="Arial" w:eastAsia="Arial" w:hAnsi="Arial"/>
          <w:sz w:val="22"/>
          <w:szCs w:val="22"/>
          <w:color w:val="FF0000"/>
          <w:strike w:val="1"/>
        </w:rPr>
        <w:t>Business Day published</w:t>
      </w:r>
      <w:r>
        <w:rPr>
          <w:rFonts w:ascii="Arial" w:cs="Arial" w:eastAsia="Arial" w:hAnsi="Arial"/>
          <w:sz w:val="22"/>
          <w:szCs w:val="22"/>
          <w:u w:val="single" w:color="auto"/>
          <w:color w:val="0000FF"/>
        </w:rPr>
        <w:t>as administered</w:t>
      </w:r>
      <w:r>
        <w:rPr>
          <w:rFonts w:ascii="Arial" w:cs="Arial" w:eastAsia="Arial" w:hAnsi="Arial"/>
          <w:sz w:val="22"/>
          <w:szCs w:val="22"/>
          <w:color w:val="FF0000"/>
        </w:rPr>
        <w:t xml:space="preserve"> </w:t>
      </w:r>
      <w:r>
        <w:rPr>
          <w:rFonts w:ascii="Arial" w:cs="Arial" w:eastAsia="Arial" w:hAnsi="Arial"/>
          <w:sz w:val="22"/>
          <w:szCs w:val="22"/>
          <w:color w:val="000000"/>
        </w:rPr>
        <w:t>by the SOFR Administrator</w:t>
      </w:r>
      <w:r>
        <w:rPr>
          <w:rFonts w:ascii="Arial" w:cs="Arial" w:eastAsia="Arial" w:hAnsi="Arial"/>
          <w:sz w:val="22"/>
          <w:szCs w:val="22"/>
          <w:color w:val="FF0000"/>
        </w:rPr>
        <w:t xml:space="preserve"> </w:t>
      </w:r>
      <w:r>
        <w:rPr>
          <w:rFonts w:ascii="Arial" w:cs="Arial" w:eastAsia="Arial" w:hAnsi="Arial"/>
          <w:sz w:val="22"/>
          <w:szCs w:val="22"/>
          <w:color w:val="008000"/>
        </w:rPr>
        <w:t>on the SOFR Administrator’s Website</w:t>
      </w:r>
      <w:r>
        <w:rPr>
          <w:rFonts w:ascii="Arial" w:cs="Arial" w:eastAsia="Arial" w:hAnsi="Arial"/>
          <w:sz w:val="22"/>
          <w:szCs w:val="22"/>
          <w:color w:val="FF0000"/>
        </w:rPr>
        <w:t xml:space="preserve"> </w:t>
      </w:r>
      <w:r>
        <w:rPr>
          <w:rFonts w:ascii="Arial" w:cs="Arial" w:eastAsia="Arial" w:hAnsi="Arial"/>
          <w:sz w:val="22"/>
          <w:szCs w:val="22"/>
          <w:color w:val="FF0000"/>
          <w:strike w:val="1"/>
        </w:rPr>
        <w:t>on the immediately</w:t>
      </w:r>
      <w:r>
        <w:rPr>
          <w:rFonts w:ascii="Arial" w:cs="Arial" w:eastAsia="Arial" w:hAnsi="Arial"/>
          <w:sz w:val="22"/>
          <w:szCs w:val="22"/>
          <w:color w:val="FF0000"/>
        </w:rPr>
        <w:t xml:space="preserve"> </w:t>
      </w:r>
      <w:r>
        <w:rPr>
          <w:rFonts w:ascii="Arial" w:cs="Arial" w:eastAsia="Arial" w:hAnsi="Arial"/>
          <w:sz w:val="22"/>
          <w:szCs w:val="22"/>
          <w:color w:val="FF0000"/>
          <w:strike w:val="1"/>
        </w:rPr>
        <w:t>succeeding Business Day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-219710</wp:posOffset>
            </wp:positionV>
            <wp:extent cx="22294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SOFR Administrator</w:t>
      </w:r>
      <w:r>
        <w:rPr>
          <w:rFonts w:ascii="Arial" w:cs="Arial" w:eastAsia="Arial" w:hAnsi="Arial"/>
          <w:sz w:val="21"/>
          <w:szCs w:val="21"/>
          <w:color w:val="auto"/>
        </w:rPr>
        <w:t>” means the NYFRB (or a successor administrator of the secured overnight financing rate).</w:t>
      </w:r>
    </w:p>
    <w:p>
      <w:pPr>
        <w:spacing w:after="0" w:line="19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b w:val="1"/>
          <w:bCs w:val="1"/>
          <w:u w:val="single" w:color="auto"/>
          <w:color w:val="0000FF"/>
        </w:rPr>
        <w:t>SOFR Determination Date</w:t>
      </w:r>
      <w:r>
        <w:rPr>
          <w:rFonts w:ascii="Arial" w:cs="Arial" w:eastAsia="Arial" w:hAnsi="Arial"/>
          <w:sz w:val="22"/>
          <w:szCs w:val="22"/>
          <w:u w:val="single" w:color="auto"/>
          <w:color w:val="0000FF"/>
        </w:rPr>
        <w:t>” has the meaning specified in the definition of “Daily Simple SOFR”.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b w:val="1"/>
          <w:bCs w:val="1"/>
          <w:u w:val="single" w:color="auto"/>
          <w:color w:val="0000FF"/>
        </w:rPr>
        <w:t>SOFR Rate Day</w:t>
      </w:r>
      <w:r>
        <w:rPr>
          <w:rFonts w:ascii="Arial" w:cs="Arial" w:eastAsia="Arial" w:hAnsi="Arial"/>
          <w:sz w:val="22"/>
          <w:szCs w:val="22"/>
          <w:u w:val="single" w:color="auto"/>
          <w:color w:val="0000FF"/>
        </w:rPr>
        <w:t>” has the meaning specified in the definition of “Daily Simple SOFR”.</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Solvent</w:t>
      </w:r>
      <w:r>
        <w:rPr>
          <w:rFonts w:ascii="Arial" w:cs="Arial" w:eastAsia="Arial" w:hAnsi="Arial"/>
          <w:sz w:val="19"/>
          <w:szCs w:val="19"/>
          <w:color w:val="auto"/>
        </w:rPr>
        <w:t>” means, with respect to the Parent and its Subsidiaries on a particular date, that on such date (a) the fair value of the assets of the Parent and its Subsidiaries, on a consolidated basis, is greater than the total amount of liabilities, including, without limitation, contingent liabilities, of the Parent and its Subsidiaries, on a consolidated basis, (b) the present fair saleable value of the assets of the Parent and its Subsidiaries, on a consolidated basis, is not less than the total amount of liabilities, including contingent liabilities, of the Parent and its Subsidiaries, on a consolidated basis, (c) the Parent and its Subsidiaries, on a consolidated basis, do not intend to, and do not believe that they will, incur debts or liabilities (including current obligations and contingent liabilities) beyond their ability to pay such debts and liabilities as they mature in the ordinary course of business, (d) the Parent and its Subsidiaries on a consolidated basis have, and will have, adequate capital with which to conduct the business they are presently conducting and reasonably anticipate conducting and (e) with respect to any Australian Loan Party, it is solvent (within the meaning of section 95A of the Australian Corporations Act) and able to pay its debts as and when they fall due). The amount of contingent liabilities at any time shall be computed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395" w:right="339" w:bottom="1440" w:gutter="0" w:footer="0" w:header="0"/>
        </w:sectPr>
      </w:pPr>
    </w:p>
    <w:bookmarkStart w:id="125" w:name="page126"/>
    <w:bookmarkEnd w:id="125"/>
    <w:p>
      <w:pPr>
        <w:jc w:val="both"/>
        <w:spacing w:after="0" w:line="223" w:lineRule="auto"/>
        <w:rPr>
          <w:sz w:val="20"/>
          <w:szCs w:val="20"/>
          <w:color w:val="auto"/>
        </w:rPr>
      </w:pPr>
      <w:r>
        <w:rPr>
          <w:rFonts w:ascii="Arial" w:cs="Arial" w:eastAsia="Arial" w:hAnsi="Arial"/>
          <w:sz w:val="22"/>
          <w:szCs w:val="22"/>
          <w:color w:val="auto"/>
        </w:rPr>
        <w:t>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(ASC 450)).</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SONIA</w:t>
      </w:r>
      <w:r>
        <w:rPr>
          <w:rFonts w:ascii="Arial" w:cs="Arial" w:eastAsia="Arial" w:hAnsi="Arial"/>
          <w:sz w:val="22"/>
          <w:szCs w:val="22"/>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SONIA Administrator</w:t>
      </w:r>
      <w:r>
        <w:rPr>
          <w:rFonts w:ascii="Arial" w:cs="Arial" w:eastAsia="Arial" w:hAnsi="Arial"/>
          <w:sz w:val="22"/>
          <w:szCs w:val="22"/>
          <w:color w:val="auto"/>
        </w:rPr>
        <w:t>” means the Bank of England (or any successor administrator of the Sterling Overnight Index Average).</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Special Purpose Subsidiary</w:t>
      </w:r>
      <w:r>
        <w:rPr>
          <w:rFonts w:ascii="Arial" w:cs="Arial" w:eastAsia="Arial" w:hAnsi="Arial"/>
          <w:sz w:val="21"/>
          <w:szCs w:val="21"/>
          <w:color w:val="auto"/>
        </w:rPr>
        <w:t>” means (a) any not-for-profit Subsidiary and (b) any Captive Insurance Company.</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Cash Management Agreement</w:t>
      </w:r>
      <w:r>
        <w:rPr>
          <w:rFonts w:ascii="Arial" w:cs="Arial" w:eastAsia="Arial" w:hAnsi="Arial"/>
          <w:sz w:val="19"/>
          <w:szCs w:val="19"/>
          <w:color w:val="auto"/>
        </w:rPr>
        <w:t>” means any agreement providing for treasury, depositary, purchasing card or cash management services, including in connection with any automated clearing house transfers of funds or any similar transactions between the Borrower or any Guarantor and any Lender or affiliate thereof, which is in effect as of the Effective Date or which has been designated by such Lender and the Borrower, by notice to the Administrative Agent not later than 90 days after the execution and delivery by the Borrower or such Guarantor, as a “Specified Cash Management Agreement”.</w:t>
      </w:r>
    </w:p>
    <w:p>
      <w:pPr>
        <w:spacing w:after="0" w:line="14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Swap Agreement</w:t>
      </w:r>
      <w:r>
        <w:rPr>
          <w:rFonts w:ascii="Arial" w:cs="Arial" w:eastAsia="Arial" w:hAnsi="Arial"/>
          <w:sz w:val="21"/>
          <w:szCs w:val="21"/>
          <w:color w:val="auto"/>
        </w:rPr>
        <w:t xml:space="preserve">” means any Swap Agreement in respect of interest rates or currency exchange rates entered into by the Borrower or any Guarantor and any Person that is a Lender or an Affiliate of a Lender at the time such Swap Agreement is entered into;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Swap Agreement is entered into to hedge or mitigate risks, and not for speculative purposes, in the ordinary course of the Borrower or such Guarantor’s business or in order to effectively cap, collar or exchange interest rates (from floating to fixed rates, from one floating rate to another floating rate or otherwise) with respect to any interest-bearing liability or investment of the Borrower or such Guarantor.</w:t>
      </w:r>
    </w:p>
    <w:p>
      <w:pPr>
        <w:spacing w:after="0" w:line="15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Transaction</w:t>
      </w:r>
      <w:r>
        <w:rPr>
          <w:rFonts w:ascii="Arial" w:cs="Arial" w:eastAsia="Arial" w:hAnsi="Arial"/>
          <w:sz w:val="22"/>
          <w:szCs w:val="22"/>
          <w:color w:val="auto"/>
        </w:rPr>
        <w:t>” means (a) any incurrence or repayment of Indebtedness of the Borrower or a Subsidiary, (b) any Investment that results in a Person becoming a Subsidiary, (c) any Disposition, (d) the establishment, acquisition or creation of any new joint venture of the Borrower or any Subsidiary, (e) any issuance of Equity Interests, and (f) any acquisition or Investment constituting an acquisition of assets constituting a business unit, line of business or division of another Person or of all or substantially all of the assets of a Person.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Standby Letter of Credit</w:t>
      </w:r>
      <w:r>
        <w:rPr>
          <w:rFonts w:ascii="Arial" w:cs="Arial" w:eastAsia="Arial" w:hAnsi="Arial"/>
          <w:sz w:val="22"/>
          <w:szCs w:val="22"/>
          <w:color w:val="auto"/>
        </w:rPr>
        <w:t>” means any Letter of Credit other than any Commercial Letter of Credit.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Statutory Reserve Rate</w:t>
      </w:r>
      <w:r>
        <w:rPr>
          <w:rFonts w:ascii="Arial" w:cs="Arial" w:eastAsia="Arial" w:hAnsi="Arial"/>
          <w:sz w:val="19"/>
          <w:szCs w:val="19"/>
          <w:color w:val="auto"/>
        </w:rPr>
        <w:t xml:space="preserv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w:t>
      </w:r>
      <w:r>
        <w:rPr>
          <w:rFonts w:ascii="Arial" w:cs="Arial" w:eastAsia="Arial" w:hAnsi="Arial"/>
          <w:sz w:val="19"/>
          <w:szCs w:val="19"/>
          <w:color w:val="FF0000"/>
          <w:strike w:val="1"/>
        </w:rPr>
        <w:t>LIBO Rate or Adjusted</w:t>
      </w:r>
      <w:r>
        <w:rPr>
          <w:rFonts w:ascii="Arial" w:cs="Arial" w:eastAsia="Arial" w:hAnsi="Arial"/>
          <w:sz w:val="19"/>
          <w:szCs w:val="19"/>
          <w:color w:val="auto"/>
        </w:rPr>
        <w:t xml:space="preserve"> EURIBOR Rate, as applicable,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01" w:right="339" w:bottom="1440" w:gutter="0" w:footer="0" w:header="0"/>
        </w:sectPr>
      </w:pPr>
    </w:p>
    <w:bookmarkStart w:id="126" w:name="page127"/>
    <w:bookmarkEnd w:id="126"/>
    <w:p>
      <w:pPr>
        <w:jc w:val="both"/>
        <w:spacing w:after="0" w:line="223" w:lineRule="auto"/>
        <w:rPr>
          <w:sz w:val="20"/>
          <w:szCs w:val="20"/>
          <w:color w:val="auto"/>
        </w:rPr>
      </w:pPr>
      <w:r>
        <w:rPr>
          <w:rFonts w:ascii="Arial" w:cs="Arial" w:eastAsia="Arial" w:hAnsi="Arial"/>
          <w:sz w:val="22"/>
          <w:szCs w:val="22"/>
          <w:color w:val="auto"/>
        </w:rPr>
        <w:t>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Sterling</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 the lawful currency of the United Kingdom.</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Subordinated Lender</w:t>
      </w:r>
      <w:r>
        <w:rPr>
          <w:rFonts w:ascii="Arial" w:cs="Arial" w:eastAsia="Arial" w:hAnsi="Arial"/>
          <w:sz w:val="22"/>
          <w:szCs w:val="22"/>
          <w:color w:val="auto"/>
        </w:rPr>
        <w:t>” means any Lender which has a relationship with a Loan Party which leads to a reduction or prohibition of payment (including payments in form of an insolvency quota) or other distribution (including the proceeds from the enforcement of any Collateral) by that Loan Party (including any administrator or insolvency administrator) to that Lender, including, without limitation, by reason of that Lender:</w:t>
      </w:r>
    </w:p>
    <w:p>
      <w:pPr>
        <w:spacing w:after="0" w:line="158" w:lineRule="exact"/>
        <w:rPr>
          <w:sz w:val="20"/>
          <w:szCs w:val="20"/>
          <w:color w:val="auto"/>
        </w:rPr>
      </w:pPr>
    </w:p>
    <w:p>
      <w:pPr>
        <w:ind w:left="920" w:hanging="264"/>
        <w:spacing w:after="0"/>
        <w:tabs>
          <w:tab w:leader="none" w:pos="9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being a Subsidiary of the Parent or an Affiliate thereof; or</w:t>
      </w:r>
    </w:p>
    <w:p>
      <w:pPr>
        <w:spacing w:after="0" w:line="179" w:lineRule="exact"/>
        <w:rPr>
          <w:rFonts w:ascii="Arial" w:cs="Arial" w:eastAsia="Arial" w:hAnsi="Arial"/>
          <w:sz w:val="22"/>
          <w:szCs w:val="22"/>
          <w:color w:val="auto"/>
        </w:rPr>
      </w:pPr>
    </w:p>
    <w:p>
      <w:pPr>
        <w:jc w:val="both"/>
        <w:ind w:firstLine="656"/>
        <w:spacing w:after="0" w:line="268" w:lineRule="auto"/>
        <w:tabs>
          <w:tab w:leader="none" w:pos="99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having acquired (directly or indirectly) any Commitment, participation in any Loan and/or any other participation rights (including by way of sub-participation) in any of the Loans and/or any other rights and obligations under the Loan Documents from a Subsidiary of the Parent or an Affiliate thereof in accordance with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otherwise.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unless otherwise specified, any subsidiary of the Parent.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b w:val="1"/>
          <w:bCs w:val="1"/>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Supplier Financing Excess Amount</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6.01(k)</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Supported QFC</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10.18</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Agreement</w:t>
      </w:r>
      <w:r>
        <w:rPr>
          <w:rFonts w:ascii="Arial" w:cs="Arial" w:eastAsia="Arial" w:hAnsi="Arial"/>
          <w:sz w:val="22"/>
          <w:szCs w:val="22"/>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phantom stock or similar plan providing for payments only on account of services provided by current or former directors, officers, employees or consultants of the Parent or its Subsidiaries shall be a Swap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Obligation</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9.01(i)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Syndication Agent</w:t>
      </w:r>
      <w:r>
        <w:rPr>
          <w:rFonts w:ascii="Arial" w:cs="Arial" w:eastAsia="Arial" w:hAnsi="Arial"/>
          <w:sz w:val="22"/>
          <w:szCs w:val="22"/>
          <w:color w:val="auto"/>
        </w:rPr>
        <w:t>” means Morgan Stanley Senior Funding, Inc., in its capacity as syndication agent,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01" w:right="339" w:bottom="1440" w:gutter="0" w:footer="0" w:header="0"/>
        </w:sectPr>
      </w:pPr>
    </w:p>
    <w:bookmarkStart w:id="127" w:name="page128"/>
    <w:bookmarkEnd w:id="127"/>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TARGET2</w:t>
      </w:r>
      <w:r>
        <w:rPr>
          <w:rFonts w:ascii="Arial" w:cs="Arial" w:eastAsia="Arial" w:hAnsi="Arial"/>
          <w:sz w:val="22"/>
          <w:szCs w:val="22"/>
          <w:color w:val="auto"/>
        </w:rPr>
        <w:t>” means the Trans-European Automated Real-time Gross Settlement Express Transfer payment system which utilizes a single shared platform and which was launched on November 19, 2007.</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Day</w:t>
      </w:r>
      <w:r>
        <w:rPr>
          <w:rFonts w:ascii="Arial" w:cs="Arial" w:eastAsia="Arial" w:hAnsi="Arial"/>
          <w:sz w:val="22"/>
          <w:szCs w:val="22"/>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Receivable Agreement</w:t>
      </w:r>
      <w:r>
        <w:rPr>
          <w:rFonts w:ascii="Arial" w:cs="Arial" w:eastAsia="Arial" w:hAnsi="Arial"/>
          <w:sz w:val="22"/>
          <w:szCs w:val="22"/>
          <w:color w:val="auto"/>
        </w:rPr>
        <w:t>” means that certain Tax Receivable Agreement, dated as of November 1, 2021, among the Parent, the Borrower and the other parties thereto, as the same may hereafter be modified, supplemented, extended, amended, restated or amended and restated from time to time.</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means any and all present or future taxes, levies, imposts, duties, deductions, goods and services tax including Indirect Tax, charges, withholdings (including backup withholding), assessments, fees or other charges imposed by any Governmental Authority, including any interest, additions to tax or penalties applicable thereto.</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Benchmark</w:t>
      </w:r>
      <w:r>
        <w:rPr>
          <w:rFonts w:ascii="Arial" w:cs="Arial" w:eastAsia="Arial" w:hAnsi="Arial"/>
          <w:sz w:val="22"/>
          <w:szCs w:val="22"/>
          <w:color w:val="auto"/>
        </w:rPr>
        <w:t xml:space="preserve">” when used in reference to any Loan or Borrowing, refers to whether such Loan, or the Loans comprising such Borrowing, are bearing interest at a rate determined by reference to the Adjusted </w:t>
      </w:r>
      <w:r>
        <w:rPr>
          <w:rFonts w:ascii="Arial" w:cs="Arial" w:eastAsia="Arial" w:hAnsi="Arial"/>
          <w:sz w:val="22"/>
          <w:szCs w:val="22"/>
          <w:color w:val="FF0000"/>
          <w:strike w:val="1"/>
        </w:rPr>
        <w:t>LIBO</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Rate, the Adjusted EURIBOR Rate or the AUD Rate.</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b w:val="1"/>
          <w:bCs w:val="1"/>
          <w:color w:val="FF0000"/>
          <w:strike w:val="1"/>
        </w:rPr>
        <w:t>Term SOFR</w:t>
      </w:r>
      <w:r>
        <w:rPr>
          <w:rFonts w:ascii="Arial" w:cs="Arial" w:eastAsia="Arial" w:hAnsi="Arial"/>
          <w:sz w:val="21"/>
          <w:szCs w:val="21"/>
          <w:color w:val="FF0000"/>
          <w:strike w:val="1"/>
        </w:rPr>
        <w:t>” means, for the applicable Corresponding Tenor as of the applicable Reference Time, the forward-looking term rate based on SOFR that has been selected or recommended by the Relevant Governmental Body.</w:t>
      </w:r>
    </w:p>
    <w:p>
      <w:pPr>
        <w:spacing w:after="0" w:line="1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Notice</w:t>
      </w:r>
      <w:r>
        <w:rPr>
          <w:rFonts w:ascii="Arial" w:cs="Arial" w:eastAsia="Arial" w:hAnsi="Arial"/>
          <w:sz w:val="22"/>
          <w:szCs w:val="22"/>
          <w:color w:val="FF0000"/>
          <w:strike w:val="1"/>
        </w:rPr>
        <w:t>” means a notification by the Administrative Agent to the Lenders and the Borrower of the</w:t>
      </w:r>
      <w:r>
        <w:rPr>
          <w:rFonts w:ascii="Arial" w:cs="Arial" w:eastAsia="Arial" w:hAnsi="Arial"/>
          <w:sz w:val="22"/>
          <w:szCs w:val="22"/>
          <w:color w:val="auto"/>
        </w:rPr>
        <w:t xml:space="preserve"> </w:t>
      </w:r>
      <w:r>
        <w:rPr>
          <w:rFonts w:ascii="Arial" w:cs="Arial" w:eastAsia="Arial" w:hAnsi="Arial"/>
          <w:sz w:val="22"/>
          <w:szCs w:val="22"/>
          <w:color w:val="FF0000"/>
          <w:strike w:val="1"/>
        </w:rPr>
        <w:t>occurrence of a Term SOFR Transition Event.</w:t>
      </w:r>
      <w:r>
        <w:rPr>
          <w:rFonts w:ascii="Arial" w:cs="Arial" w:eastAsia="Arial" w:hAnsi="Arial"/>
          <w:sz w:val="22"/>
          <w:szCs w:val="22"/>
          <w:b w:val="1"/>
          <w:bCs w:val="1"/>
          <w:u w:val="single" w:color="auto"/>
          <w:color w:val="0000FF"/>
          <w:strike w:val="1"/>
        </w:rPr>
        <w:t>Determination Day</w:t>
      </w:r>
      <w:r>
        <w:rPr>
          <w:rFonts w:ascii="Arial" w:cs="Arial" w:eastAsia="Arial" w:hAnsi="Arial"/>
          <w:sz w:val="22"/>
          <w:szCs w:val="22"/>
          <w:u w:val="single" w:color="auto"/>
          <w:color w:val="008000"/>
          <w:strike w:val="1"/>
        </w:rPr>
        <w:t>” has the meaning assigned to</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00FF"/>
          <w:strike w:val="1"/>
        </w:rPr>
        <w:t>it under the definition of Term</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00FF"/>
          <w:strike w:val="1"/>
        </w:rPr>
        <w:t>SOFR Reference Rate.</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Transition Event</w:t>
      </w:r>
      <w:r>
        <w:rPr>
          <w:rFonts w:ascii="Arial" w:cs="Arial" w:eastAsia="Arial" w:hAnsi="Arial"/>
          <w:sz w:val="19"/>
          <w:szCs w:val="19"/>
          <w:color w:val="FF0000"/>
          <w:strike w:val="1"/>
        </w:rPr>
        <w:t>” means the determination by the Administrative Agent that (a) Term SOFR has been</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w:t>
      </w:r>
      <w:r>
        <w:rPr>
          <w:rFonts w:ascii="Arial" w:cs="Arial" w:eastAsia="Arial" w:hAnsi="Arial"/>
          <w:sz w:val="19"/>
          <w:szCs w:val="19"/>
          <w:u w:val="single" w:color="auto"/>
          <w:color w:val="FF0000"/>
          <w:strike w:val="1"/>
        </w:rPr>
        <w:t>Section 2.11(b)</w:t>
      </w:r>
      <w:r>
        <w:rPr>
          <w:rFonts w:ascii="Arial" w:cs="Arial" w:eastAsia="Arial" w:hAnsi="Arial"/>
          <w:sz w:val="19"/>
          <w:szCs w:val="19"/>
          <w:color w:val="FF0000"/>
          <w:strike w:val="1"/>
        </w:rPr>
        <w:t xml:space="preserve"> that is not Term SOFR.</w:t>
      </w:r>
      <w:r>
        <w:rPr>
          <w:rFonts w:ascii="Arial" w:cs="Arial" w:eastAsia="Arial" w:hAnsi="Arial"/>
          <w:sz w:val="19"/>
          <w:szCs w:val="19"/>
          <w:b w:val="1"/>
          <w:bCs w:val="1"/>
          <w:u w:val="single" w:color="auto"/>
          <w:color w:val="008000"/>
          <w:strike w:val="1"/>
        </w:rPr>
        <w:t>Rate</w:t>
      </w:r>
      <w:r>
        <w:rPr>
          <w:rFonts w:ascii="Arial" w:cs="Arial" w:eastAsia="Arial" w:hAnsi="Arial"/>
          <w:sz w:val="19"/>
          <w:szCs w:val="19"/>
          <w:u w:val="single" w:color="auto"/>
          <w:color w:val="008000"/>
          <w:strike w:val="1"/>
        </w:rPr>
        <w:t>” means, with respect to any Term Benchmark Borrowing</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 xml:space="preserve">denominated in Dollars and for any </w:t>
      </w:r>
      <w:r>
        <w:rPr>
          <w:rFonts w:ascii="Arial" w:cs="Arial" w:eastAsia="Arial" w:hAnsi="Arial"/>
          <w:sz w:val="19"/>
          <w:szCs w:val="19"/>
          <w:u w:val="single" w:color="auto"/>
          <w:color w:val="0000FF"/>
          <w:strike w:val="1"/>
        </w:rPr>
        <w:t>tenor comparable to the applicable Interest Period, the Term SOFR Reference Rate at</w:t>
      </w:r>
      <w:r>
        <w:rPr>
          <w:rFonts w:ascii="Arial" w:cs="Arial" w:eastAsia="Arial" w:hAnsi="Arial"/>
          <w:sz w:val="19"/>
          <w:szCs w:val="19"/>
          <w:u w:val="single" w:color="auto"/>
          <w:color w:val="008000"/>
          <w:strike w:val="1"/>
        </w:rPr>
        <w:t xml:space="preserve"> </w:t>
      </w:r>
      <w:r>
        <w:rPr>
          <w:rFonts w:ascii="Arial" w:cs="Arial" w:eastAsia="Arial" w:hAnsi="Arial"/>
          <w:sz w:val="19"/>
          <w:szCs w:val="19"/>
          <w:u w:val="single" w:color="auto"/>
          <w:color w:val="0000FF"/>
          <w:strike w:val="1"/>
        </w:rPr>
        <w:t xml:space="preserve">approximately 8:00 a.m., New York time, two U.S. Government Securities </w:t>
      </w:r>
      <w:r>
        <w:rPr>
          <w:rFonts w:ascii="Arial" w:cs="Arial" w:eastAsia="Arial" w:hAnsi="Arial"/>
          <w:sz w:val="19"/>
          <w:szCs w:val="19"/>
          <w:u w:val="single" w:color="auto"/>
          <w:color w:val="008000"/>
          <w:strike w:val="1"/>
        </w:rPr>
        <w:t>Business Days prior to the commencement of such</w:t>
      </w:r>
      <w:r>
        <w:rPr>
          <w:rFonts w:ascii="Arial" w:cs="Arial" w:eastAsia="Arial" w:hAnsi="Arial"/>
          <w:sz w:val="19"/>
          <w:szCs w:val="19"/>
          <w:u w:val="single" w:color="auto"/>
          <w:color w:val="0000FF"/>
          <w:strike w:val="1"/>
        </w:rPr>
        <w:t xml:space="preserve"> tenor comparable to the applicable Interest Period, as such rate is published by the CME Term SOFR Administrator.</w:t>
      </w:r>
    </w:p>
    <w:p>
      <w:pPr>
        <w:spacing w:after="0" w:line="15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Term SOFR Reference</w:t>
      </w:r>
      <w:r>
        <w:rPr>
          <w:rFonts w:ascii="Arial" w:cs="Arial" w:eastAsia="Arial" w:hAnsi="Arial"/>
          <w:sz w:val="21"/>
          <w:szCs w:val="21"/>
          <w:u w:val="single" w:color="auto"/>
          <w:color w:val="0000FF"/>
        </w:rPr>
        <w:t xml:space="preserve"> </w:t>
      </w:r>
      <w:r>
        <w:rPr>
          <w:rFonts w:ascii="Arial" w:cs="Arial" w:eastAsia="Arial" w:hAnsi="Arial"/>
          <w:sz w:val="21"/>
          <w:szCs w:val="21"/>
          <w:b w:val="1"/>
          <w:bCs w:val="1"/>
          <w:u w:val="single" w:color="auto"/>
          <w:color w:val="008000"/>
        </w:rPr>
        <w:t>Rate</w:t>
      </w:r>
      <w:r>
        <w:rPr>
          <w:rFonts w:ascii="Arial" w:cs="Arial" w:eastAsia="Arial" w:hAnsi="Arial"/>
          <w:sz w:val="21"/>
          <w:szCs w:val="21"/>
          <w:u w:val="single" w:color="auto"/>
          <w:color w:val="008000"/>
        </w:rPr>
        <w:t>” means, for any day and time</w:t>
      </w:r>
      <w:r>
        <w:rPr>
          <w:rFonts w:ascii="Arial" w:cs="Arial" w:eastAsia="Arial" w:hAnsi="Arial"/>
          <w:sz w:val="21"/>
          <w:szCs w:val="21"/>
          <w:u w:val="single" w:color="auto"/>
          <w:color w:val="0000FF"/>
        </w:rPr>
        <w:t xml:space="preserve"> (such day, the “</w:t>
      </w:r>
      <w:r>
        <w:rPr>
          <w:rFonts w:ascii="Arial" w:cs="Arial" w:eastAsia="Arial" w:hAnsi="Arial"/>
          <w:sz w:val="21"/>
          <w:szCs w:val="21"/>
          <w:b w:val="1"/>
          <w:bCs w:val="1"/>
          <w:u w:val="single" w:color="auto"/>
          <w:color w:val="0000FF"/>
        </w:rPr>
        <w:t>Term SOFR Determination Da</w:t>
      </w:r>
      <w:r>
        <w:rPr>
          <w:rFonts w:ascii="Arial" w:cs="Arial" w:eastAsia="Arial" w:hAnsi="Arial"/>
          <w:sz w:val="21"/>
          <w:szCs w:val="21"/>
          <w:b w:val="1"/>
          <w:bCs w:val="1"/>
          <w:i w:val="1"/>
          <w:iCs w:val="1"/>
          <w:u w:val="single" w:color="auto"/>
          <w:color w:val="0000FF"/>
        </w:rPr>
        <w:t>y</w:t>
      </w:r>
      <w:r>
        <w:rPr>
          <w:rFonts w:ascii="Arial" w:cs="Arial" w:eastAsia="Arial" w:hAnsi="Arial"/>
          <w:sz w:val="21"/>
          <w:szCs w:val="21"/>
          <w:u w:val="single" w:color="auto"/>
          <w:color w:val="0000FF"/>
        </w:rPr>
        <w:t>”)</w:t>
      </w:r>
      <w:r>
        <w:rPr>
          <w:rFonts w:ascii="Arial" w:cs="Arial" w:eastAsia="Arial" w:hAnsi="Arial"/>
          <w:sz w:val="21"/>
          <w:szCs w:val="21"/>
          <w:u w:val="single" w:color="auto"/>
          <w:color w:val="008000"/>
        </w:rPr>
        <w:t>, with</w:t>
      </w:r>
      <w:r>
        <w:rPr>
          <w:rFonts w:ascii="Arial" w:cs="Arial" w:eastAsia="Arial" w:hAnsi="Arial"/>
          <w:sz w:val="21"/>
          <w:szCs w:val="21"/>
          <w:u w:val="single" w:color="auto"/>
          <w:color w:val="0000FF"/>
        </w:rPr>
        <w:t xml:space="preserve"> </w:t>
      </w:r>
      <w:r>
        <w:rPr>
          <w:rFonts w:ascii="Arial" w:cs="Arial" w:eastAsia="Arial" w:hAnsi="Arial"/>
          <w:sz w:val="21"/>
          <w:szCs w:val="21"/>
          <w:u w:val="single" w:color="auto"/>
          <w:color w:val="008000"/>
        </w:rPr>
        <w:t xml:space="preserve">respect to any Term Benchmark Borrowing denominated in Dollars and for any </w:t>
      </w:r>
      <w:r>
        <w:rPr>
          <w:rFonts w:ascii="Arial" w:cs="Arial" w:eastAsia="Arial" w:hAnsi="Arial"/>
          <w:sz w:val="21"/>
          <w:szCs w:val="21"/>
          <w:u w:val="single" w:color="auto"/>
          <w:color w:val="0000FF"/>
        </w:rPr>
        <w:t>tenor comparable to the applicable Interest</w:t>
      </w:r>
      <w:r>
        <w:rPr>
          <w:rFonts w:ascii="Arial" w:cs="Arial" w:eastAsia="Arial" w:hAnsi="Arial"/>
          <w:sz w:val="21"/>
          <w:szCs w:val="21"/>
          <w:u w:val="single" w:color="auto"/>
          <w:color w:val="008000"/>
        </w:rPr>
        <w:t xml:space="preserve"> </w:t>
      </w:r>
      <w:r>
        <w:rPr>
          <w:rFonts w:ascii="Arial" w:cs="Arial" w:eastAsia="Arial" w:hAnsi="Arial"/>
          <w:sz w:val="21"/>
          <w:szCs w:val="21"/>
          <w:u w:val="single" w:color="auto"/>
          <w:color w:val="0000FF"/>
        </w:rPr>
        <w:t xml:space="preserve">Period, the rate per annum published by the CME Term SOFR Administrator and identified by the Administrative Agent as the forward-looking term rate based on SOFR. If by 5:00 pm </w:t>
      </w:r>
      <w:r>
        <w:rPr>
          <w:rFonts w:ascii="Arial" w:cs="Arial" w:eastAsia="Arial" w:hAnsi="Arial"/>
          <w:sz w:val="21"/>
          <w:szCs w:val="21"/>
          <w:u w:val="single" w:color="auto"/>
          <w:color w:val="008000"/>
        </w:rPr>
        <w:t>(New York City time) on</w:t>
      </w:r>
      <w:r>
        <w:rPr>
          <w:rFonts w:ascii="Arial" w:cs="Arial" w:eastAsia="Arial" w:hAnsi="Arial"/>
          <w:sz w:val="21"/>
          <w:szCs w:val="21"/>
          <w:u w:val="single" w:color="auto"/>
          <w:color w:val="0000FF"/>
        </w:rPr>
        <w:t xml:space="preserve">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98" w:lineRule="auto"/>
        <w:rPr>
          <w:sz w:val="20"/>
          <w:szCs w:val="20"/>
          <w:color w:val="auto"/>
        </w:rPr>
      </w:pPr>
      <w:r>
        <w:rPr>
          <w:rFonts w:ascii="Arial" w:cs="Arial" w:eastAsia="Arial" w:hAnsi="Arial"/>
          <w:sz w:val="19"/>
          <w:szCs w:val="19"/>
          <w:u w:val="single" w:color="auto"/>
          <w:color w:val="0000FF"/>
        </w:rPr>
        <w:t>was published by the CME Term SOFR Administrator, so long as such first preceding U.S. Government Securities Business Day is not more than five (5) U.S. Government Securities Business Days prior to such Term SOFR Determination Day.</w:t>
      </w:r>
    </w:p>
    <w:p>
      <w:pPr>
        <w:spacing w:after="0" w:line="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Assets</w:t>
      </w:r>
      <w:r>
        <w:rPr>
          <w:rFonts w:ascii="Arial" w:cs="Arial" w:eastAsia="Arial" w:hAnsi="Arial"/>
          <w:sz w:val="19"/>
          <w:szCs w:val="19"/>
          <w:color w:val="auto"/>
        </w:rPr>
        <w:t xml:space="preserve">” means, as of any date of determination, the total assets of the Parent and its Subsidiaries on a consolidated basis in accordance with GAAP, as shown on the most recent balance sheet of the Parent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5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Liquidity</w:t>
      </w:r>
      <w:r>
        <w:rPr>
          <w:rFonts w:ascii="Arial" w:cs="Arial" w:eastAsia="Arial" w:hAnsi="Arial"/>
          <w:sz w:val="21"/>
          <w:szCs w:val="21"/>
          <w:color w:val="auto"/>
        </w:rPr>
        <w:t>” means, at any time, the sum of (a) all cash and Cash Equivalents (except, for the avoidance of doubt, any Restricted Cash) held by (i) the U.S. Loan Parties, other than cash and Cash Equivalents held in a Controlled Account of a U.S. Loan Party which is not subject to a Control Account Agreement following the date that is ninety (90) days after (x) the Effective Date or (y) (in the case of a Controlled Account opened with a Lender after the Effective Date) the date such account is opened, and (ii) the Foreign Guarantors to the extent that such cash and Cash Equivalents are held in a deposit, securities or other account which is subject to an enforceable Lien of the Administrative Agent pursuant to the Security Documents under which it may cause the applicable depositary bank or other relevant institution to honor its instructions upon enforcement of such Lien under applicable law, in each case at such time (it being understood that Control Account Agreements are not required for the purposes of the foregoing with respect to any such account of any Subsidiary Guarantor which is organized under the laws of Australia or Germany) and (b) the aggregate unused amount of the Commitments then in effect and which are then available to be drawn under this Agreement.</w:t>
      </w:r>
    </w:p>
    <w:p>
      <w:pPr>
        <w:spacing w:after="0" w:line="15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Revenues</w:t>
      </w:r>
      <w:r>
        <w:rPr>
          <w:rFonts w:ascii="Arial" w:cs="Arial" w:eastAsia="Arial" w:hAnsi="Arial"/>
          <w:sz w:val="22"/>
          <w:szCs w:val="22"/>
          <w:color w:val="auto"/>
        </w:rPr>
        <w:t xml:space="preserve">” means, as of any date of determination, the gross revenues of the Parent and its Subsidiaries, determined on a consolidated basis in accordance with GAAP, as shown on the most recent income statement of the Parent delivered pursuant to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Transactions</w:t>
      </w:r>
      <w:r>
        <w:rPr>
          <w:rFonts w:ascii="Arial" w:cs="Arial" w:eastAsia="Arial" w:hAnsi="Arial"/>
          <w:sz w:val="19"/>
          <w:szCs w:val="19"/>
          <w:color w:val="auto"/>
        </w:rPr>
        <w:t xml:space="preserve"> ” means the execution, delivery and performance by the Loan Parties of each Loan Document to which it is a party, the borrowing of Loans and the issuance of Letters of Credit hereunder, the use of the proceeds thereof, consummation of the IPO and the use of the proceeds thereof, and the payment of fees and expenses relating to each of the foregoing.</w:t>
      </w:r>
    </w:p>
    <w:p>
      <w:pPr>
        <w:spacing w:after="0" w:line="124"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Date</w:t>
      </w:r>
      <w:r>
        <w:rPr>
          <w:rFonts w:ascii="Arial" w:cs="Arial" w:eastAsia="Arial" w:hAnsi="Arial"/>
          <w:sz w:val="22"/>
          <w:szCs w:val="22"/>
          <w:color w:val="auto"/>
        </w:rPr>
        <w:t>” means the first date to occur following the later of (1) the last day of a fiscal quarter for which Consolidated EBITDA of Parent and its Subsidiaries, calculated for the four consecutive fiscal quarter period ended on such day, is not less than $150,000,000 and (2) the date on which the Borrower shall have provided an irrevocable notice to the Administrative Agent informing the Administrative Agent of the event described in clause (1) above and including a reasonable calculation of such Consolidated EBITDA.</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the Adjusted </w:t>
      </w:r>
      <w:r>
        <w:rPr>
          <w:rFonts w:ascii="Arial" w:cs="Arial" w:eastAsia="Arial" w:hAnsi="Arial"/>
          <w:sz w:val="22"/>
          <w:szCs w:val="22"/>
          <w:color w:val="FF0000"/>
          <w:strike w:val="1"/>
        </w:rPr>
        <w:t>LIBO</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Rate, the Adjusted EURIBOR Rate, the AUD Rate, the Daily Simple RFR or the Alternate Base Rate.</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U.S. Government Securities Business Day</w:t>
      </w:r>
      <w:r>
        <w:rPr>
          <w:rFonts w:ascii="Arial" w:cs="Arial" w:eastAsia="Arial" w:hAnsi="Arial"/>
          <w:sz w:val="21"/>
          <w:szCs w:val="21"/>
          <w:u w:val="single" w:color="auto"/>
          <w:color w:val="0000FF"/>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Financial Institutions</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01" w:right="339" w:bottom="1440" w:gutter="0" w:footer="0" w:header="0"/>
        </w:sectPr>
      </w:pPr>
    </w:p>
    <w:bookmarkStart w:id="129" w:name="page130"/>
    <w:bookmarkEnd w:id="129"/>
    <w:p>
      <w:pPr>
        <w:jc w:val="both"/>
        <w:spacing w:after="0" w:line="232" w:lineRule="auto"/>
        <w:rPr>
          <w:sz w:val="20"/>
          <w:szCs w:val="20"/>
          <w:color w:val="auto"/>
        </w:rPr>
      </w:pPr>
      <w:r>
        <w:rPr>
          <w:rFonts w:ascii="Arial" w:cs="Arial" w:eastAsia="Arial" w:hAnsi="Arial"/>
          <w:sz w:val="22"/>
          <w:szCs w:val="22"/>
          <w:color w:val="auto"/>
        </w:rPr>
        <w:t>Authority, which includes certain credit institutions and investment firms, and certain affiliates of such credit institutions or investment firms.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Unfunded Pension Liability</w:t>
      </w:r>
      <w:r>
        <w:rPr>
          <w:rFonts w:ascii="Arial" w:cs="Arial" w:eastAsia="Arial" w:hAnsi="Arial"/>
          <w:sz w:val="22"/>
          <w:szCs w:val="22"/>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Unrestricted Account</w:t>
      </w:r>
      <w:r>
        <w:rPr>
          <w:rFonts w:ascii="Arial" w:cs="Arial" w:eastAsia="Arial" w:hAnsi="Arial"/>
          <w:sz w:val="22"/>
          <w:szCs w:val="22"/>
          <w:color w:val="auto"/>
        </w:rPr>
        <w:t>” has the meaning set forth in the definition of “Excluded Property”.</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Loan Party</w:t>
      </w:r>
      <w:r>
        <w:rPr>
          <w:rFonts w:ascii="Arial" w:cs="Arial" w:eastAsia="Arial" w:hAnsi="Arial"/>
          <w:sz w:val="22"/>
          <w:szCs w:val="22"/>
          <w:color w:val="auto"/>
        </w:rPr>
        <w:t>” means any Loan Party organized or existing under the laws of the United States of America, any State of the United States or the District of Columbia or any territory thereto.</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Person</w:t>
      </w:r>
      <w:r>
        <w:rPr>
          <w:rFonts w:ascii="Arial" w:cs="Arial" w:eastAsia="Arial" w:hAnsi="Arial"/>
          <w:sz w:val="21"/>
          <w:szCs w:val="21"/>
          <w:color w:val="auto"/>
        </w:rPr>
        <w:t>” means any Person that is a “United States Person” as defined in Section 7701(a)(30) of the Code.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Special Resolution Regime</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10.18</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Title IV of ERISA.</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Withholding Agent</w:t>
      </w:r>
      <w:r>
        <w:rPr>
          <w:rFonts w:ascii="Arial" w:cs="Arial" w:eastAsia="Arial" w:hAnsi="Arial"/>
          <w:sz w:val="22"/>
          <w:szCs w:val="22"/>
          <w:color w:val="auto"/>
        </w:rPr>
        <w:t>” means any Loan Party and the Administrative Agent.</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may be classified and referred to by Type (e.g., a “Term Benchmark Loan” or an “RFR Loan”). Borrowings also may be classified and referred to by Type (e.g., a “Term Benchmark Borrowing” or an “RFR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01" w:right="339" w:bottom="1440" w:gutter="0" w:footer="0" w:header="0"/>
        </w:sectPr>
      </w:pPr>
    </w:p>
    <w:bookmarkStart w:id="130" w:name="page131"/>
    <w:bookmarkEnd w:id="130"/>
    <w:p>
      <w:pPr>
        <w:jc w:val="both"/>
        <w:ind w:firstLine="648"/>
        <w:spacing w:after="0" w:line="218"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Terms Generally</w:t>
      </w:r>
      <w:r>
        <w:rPr>
          <w:rFonts w:ascii="Arial" w:cs="Arial" w:eastAsia="Arial" w:hAnsi="Arial"/>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setting forth a reconciliation between calculations of such ratio or requirement made before and after giving effect to such change in GAAP. Notwithstanding the foregoing, all financial covenants contained herein shall be calculated (1) without giving effect to any election under the Statement of Financial Accounting Standards No. 159 (ASC 825) (or any similar accounting principle) permitting or requiring a Person to value its financial liabilities or Indebtedness at the fair value thereof,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(3) all leases and obligations under any leases of any Person that are or would be characterized as operating leases and/or operating lease obligations in accordance with GAAP on December 14, 2018 (whether or not such operating leases and/or operating lease obligations were in effect on such date) shall continue to be accounted for as operating leases and/or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26" w:lineRule="auto"/>
        <w:rPr>
          <w:sz w:val="20"/>
          <w:szCs w:val="20"/>
          <w:color w:val="auto"/>
        </w:rPr>
      </w:pPr>
      <w:r>
        <w:rPr>
          <w:rFonts w:ascii="Arial" w:cs="Arial" w:eastAsia="Arial" w:hAnsi="Arial"/>
          <w:sz w:val="21"/>
          <w:szCs w:val="21"/>
          <w:color w:val="auto"/>
        </w:rPr>
        <w:t xml:space="preserve">lease obligations (and not as Capital Lease Obligations) for purposes of this Agreement regardless of any change in GAAP following the date that would otherwise require such obligations to be recharacterized as Capital Lease Obligations. Prior to the first delivery of financial statements pursuant to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on or after the Effective Date, any reference in this Agreement to the financial statements delivered pursuant to </w:t>
      </w:r>
      <w:r>
        <w:rPr>
          <w:rFonts w:ascii="Arial" w:cs="Arial" w:eastAsia="Arial" w:hAnsi="Arial"/>
          <w:sz w:val="21"/>
          <w:szCs w:val="21"/>
          <w:u w:val="single" w:color="auto"/>
          <w:color w:val="auto"/>
        </w:rPr>
        <w:t>Section 5.01(a)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similar reference to the same effect shall be deemed to refer to the most recently delivered financial statements.</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Interest Rates;</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LIBOR</w:t>
      </w:r>
      <w:r>
        <w:rPr>
          <w:rFonts w:ascii="Arial" w:cs="Arial" w:eastAsia="Arial" w:hAnsi="Arial"/>
          <w:sz w:val="19"/>
          <w:szCs w:val="19"/>
          <w:u w:val="single" w:color="auto"/>
          <w:color w:val="0000FF"/>
        </w:rPr>
        <w:t>Benchmark</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Notification</w:t>
      </w:r>
      <w:r>
        <w:rPr>
          <w:rFonts w:ascii="Arial" w:cs="Arial" w:eastAsia="Arial" w:hAnsi="Arial"/>
          <w:sz w:val="19"/>
          <w:szCs w:val="19"/>
          <w:color w:val="auto"/>
        </w:rPr>
        <w:t xml:space="preserve">. The interest rate on a Loan denominated in dollars or an Alternative Currency may be derived from an interest rate benchmark that is, or may in the future become, the subject of regulatory reform. </w:t>
      </w:r>
      <w:r>
        <w:rPr>
          <w:rFonts w:ascii="Arial" w:cs="Arial" w:eastAsia="Arial" w:hAnsi="Arial"/>
          <w:sz w:val="19"/>
          <w:szCs w:val="19"/>
          <w:color w:val="FF0000"/>
          <w:strike w:val="1"/>
        </w:rPr>
        <w:t>Regulators have signaled the need to use alternative benchmark reference rates for some of these interest rate</w:t>
      </w:r>
      <w:r>
        <w:rPr>
          <w:rFonts w:ascii="Arial" w:cs="Arial" w:eastAsia="Arial" w:hAnsi="Arial"/>
          <w:sz w:val="19"/>
          <w:szCs w:val="19"/>
          <w:color w:val="auto"/>
        </w:rPr>
        <w:t xml:space="preserve"> </w:t>
      </w:r>
      <w:r>
        <w:rPr>
          <w:rFonts w:ascii="Arial" w:cs="Arial" w:eastAsia="Arial" w:hAnsi="Arial"/>
          <w:sz w:val="19"/>
          <w:szCs w:val="19"/>
          <w:color w:val="FF0000"/>
          <w:strike w:val="1"/>
        </w:rPr>
        <w:t>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9"/>
          <w:szCs w:val="19"/>
          <w:b w:val="1"/>
          <w:bCs w:val="1"/>
          <w:color w:val="FF0000"/>
          <w:strike w:val="1"/>
        </w:rPr>
        <w:t>LIBOR</w:t>
      </w:r>
      <w:r>
        <w:rPr>
          <w:rFonts w:ascii="Arial" w:cs="Arial" w:eastAsia="Arial" w:hAnsi="Arial"/>
          <w:sz w:val="19"/>
          <w:szCs w:val="19"/>
          <w:color w:val="FF0000"/>
          <w:strike w:val="1"/>
        </w:rPr>
        <w:t>”) is intended to represent the rate at which contributing banks may obtain short-term borrowings from each other in the London interbank market. On March 5, 2021, the U.K. Financial Conduct Authority (“</w:t>
      </w:r>
      <w:r>
        <w:rPr>
          <w:rFonts w:ascii="Arial" w:cs="Arial" w:eastAsia="Arial" w:hAnsi="Arial"/>
          <w:sz w:val="19"/>
          <w:szCs w:val="19"/>
          <w:b w:val="1"/>
          <w:bCs w:val="1"/>
          <w:color w:val="FF0000"/>
          <w:strike w:val="1"/>
        </w:rPr>
        <w:t>FCA</w:t>
      </w:r>
      <w:r>
        <w:rPr>
          <w:rFonts w:ascii="Arial" w:cs="Arial" w:eastAsia="Arial" w:hAnsi="Arial"/>
          <w:sz w:val="19"/>
          <w:szCs w:val="19"/>
          <w:color w:val="FF0000"/>
          <w:strike w:val="1"/>
        </w:rPr>
        <w:t xml:space="preserve">”) publicly announced that: (a) 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w:t>
      </w:r>
      <w:r>
        <w:rPr>
          <w:rFonts w:ascii="Arial" w:cs="Arial" w:eastAsia="Arial" w:hAnsi="Arial"/>
          <w:sz w:val="19"/>
          <w:szCs w:val="19"/>
          <w:color w:val="000000"/>
          <w:strike w:val="1"/>
        </w:rPr>
        <w:t>Upon the occurrence of a Benchmark</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Transition Event, </w:t>
      </w:r>
      <w:r>
        <w:rPr>
          <w:rFonts w:ascii="Arial" w:cs="Arial" w:eastAsia="Arial" w:hAnsi="Arial"/>
          <w:sz w:val="19"/>
          <w:szCs w:val="19"/>
          <w:color w:val="FF0000"/>
          <w:strike w:val="1"/>
        </w:rPr>
        <w:t>a Term SOFR Transition Event, an Early Opt-in Election or an Other Benchmark Rate Election,</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00"/>
          <w:strike w:val="1"/>
        </w:rPr>
        <w:t>Section 2.11(b)</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 xml:space="preserve">and </w:t>
      </w:r>
      <w:r>
        <w:rPr>
          <w:rFonts w:ascii="Arial" w:cs="Arial" w:eastAsia="Arial" w:hAnsi="Arial"/>
          <w:sz w:val="19"/>
          <w:szCs w:val="19"/>
          <w:u w:val="single" w:color="auto"/>
          <w:color w:val="FF0000"/>
          <w:strike w:val="1"/>
        </w:rPr>
        <w:t>(c)</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provide</w:t>
      </w:r>
      <w:r>
        <w:rPr>
          <w:rFonts w:ascii="Arial" w:cs="Arial" w:eastAsia="Arial" w:hAnsi="Arial"/>
          <w:sz w:val="19"/>
          <w:szCs w:val="19"/>
          <w:u w:val="single" w:color="auto"/>
          <w:color w:val="0000FF"/>
          <w:strike w:val="1"/>
        </w:rPr>
        <w:t>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a mechanism for determining an alternative rate of interest. The Administrative Agent will promptly notify the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Borrower, pursuant to </w:t>
      </w:r>
      <w:r>
        <w:rPr>
          <w:rFonts w:ascii="Arial" w:cs="Arial" w:eastAsia="Arial" w:hAnsi="Arial"/>
          <w:sz w:val="19"/>
          <w:szCs w:val="19"/>
          <w:u w:val="single" w:color="auto"/>
          <w:color w:val="FF0000"/>
          <w:strike w:val="1"/>
        </w:rPr>
        <w:t>Section 2.11(b)</w:t>
      </w:r>
      <w:r>
        <w:rPr>
          <w:rFonts w:ascii="Arial" w:cs="Arial" w:eastAsia="Arial" w:hAnsi="Arial"/>
          <w:sz w:val="19"/>
          <w:szCs w:val="19"/>
          <w:u w:val="single" w:color="auto"/>
          <w:color w:val="0000FF"/>
          <w:strike w:val="1"/>
        </w:rPr>
        <w:t>Section 2.11(b)</w:t>
      </w:r>
      <w:r>
        <w:rPr>
          <w:rFonts w:ascii="Arial" w:cs="Arial" w:eastAsia="Arial" w:hAnsi="Arial"/>
          <w:sz w:val="19"/>
          <w:szCs w:val="19"/>
          <w:color w:val="000000"/>
          <w:strike w:val="1"/>
        </w:rPr>
        <w:t xml:space="preserve">, of any change to the reference rate upon which the interest rate on Term Benchmark Loans is based. However, the Administrative Agent does not warrant or accept any responsibility for, and shall not have any liability with respect to, the administration, submission, performance or any other matter related to the Daily Simple RFR, </w:t>
      </w:r>
      <w:r>
        <w:rPr>
          <w:rFonts w:ascii="Arial" w:cs="Arial" w:eastAsia="Arial" w:hAnsi="Arial"/>
          <w:sz w:val="19"/>
          <w:szCs w:val="19"/>
          <w:color w:val="FF0000"/>
          <w:strike w:val="1"/>
        </w:rPr>
        <w:t>LIBOR</w:t>
      </w:r>
      <w:r>
        <w:rPr>
          <w:rFonts w:ascii="Arial" w:cs="Arial" w:eastAsia="Arial" w:hAnsi="Arial"/>
          <w:sz w:val="19"/>
          <w:szCs w:val="19"/>
          <w:color w:val="000000"/>
          <w:strike w:val="1"/>
        </w:rPr>
        <w:t xml:space="preserve"> or other rates in the definition of “</w:t>
      </w:r>
      <w:r>
        <w:rPr>
          <w:rFonts w:ascii="Arial" w:cs="Arial" w:eastAsia="Arial" w:hAnsi="Arial"/>
          <w:sz w:val="19"/>
          <w:szCs w:val="19"/>
          <w:color w:val="FF0000"/>
          <w:strike w:val="1"/>
        </w:rPr>
        <w:t>LIBO</w:t>
      </w:r>
      <w:r>
        <w:rPr>
          <w:rFonts w:ascii="Arial" w:cs="Arial" w:eastAsia="Arial" w:hAnsi="Arial"/>
          <w:sz w:val="19"/>
          <w:szCs w:val="19"/>
          <w:u w:val="single" w:color="auto"/>
          <w:color w:val="0000FF"/>
          <w:strike w:val="1"/>
        </w:rPr>
        <w:t>Term SOFR</w:t>
      </w:r>
      <w:r>
        <w:rPr>
          <w:rFonts w:ascii="Arial" w:cs="Arial" w:eastAsia="Arial" w:hAnsi="Arial"/>
          <w:sz w:val="19"/>
          <w:szCs w:val="19"/>
          <w:color w:val="000000"/>
          <w:strike w:val="1"/>
        </w:rPr>
        <w:t xml:space="preserve"> Rate” (or “EURIBOR Rate” or “AUD Rate”) or with respect to any alternative or successor rate thereto, or replacement rate thereof (including, without limitation, (i) any such alternative, successor or replacement rate implemented pursuant to </w:t>
      </w:r>
      <w:r>
        <w:rPr>
          <w:rFonts w:ascii="Arial" w:cs="Arial" w:eastAsia="Arial" w:hAnsi="Arial"/>
          <w:sz w:val="19"/>
          <w:szCs w:val="19"/>
          <w:u w:val="single" w:color="auto"/>
          <w:color w:val="000000"/>
          <w:strike w:val="1"/>
        </w:rPr>
        <w:t>Section 2.11(b)</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or (c), whether</w:t>
      </w:r>
      <w:r>
        <w:rPr>
          <w:rFonts w:ascii="Arial" w:cs="Arial" w:eastAsia="Arial" w:hAnsi="Arial"/>
          <w:sz w:val="19"/>
          <w:szCs w:val="19"/>
          <w:color w:val="000000"/>
          <w:strike w:val="1"/>
        </w:rPr>
        <w:t xml:space="preserve"> upon the occurrence of a Benchmark Transition Event, </w:t>
      </w:r>
      <w:r>
        <w:rPr>
          <w:rFonts w:ascii="Arial" w:cs="Arial" w:eastAsia="Arial" w:hAnsi="Arial"/>
          <w:sz w:val="19"/>
          <w:szCs w:val="19"/>
          <w:color w:val="FF0000"/>
          <w:strike w:val="1"/>
        </w:rPr>
        <w:t>a Term SOFR Transition Event, an Early Opt-in Election or an Other Benchmark Rate Election,</w:t>
      </w:r>
      <w:r>
        <w:rPr>
          <w:rFonts w:ascii="Arial" w:cs="Arial" w:eastAsia="Arial" w:hAnsi="Arial"/>
          <w:sz w:val="19"/>
          <w:szCs w:val="19"/>
          <w:color w:val="000000"/>
          <w:strike w:val="1"/>
        </w:rPr>
        <w:t xml:space="preserve"> and (ii) the implementation of any Benchmark Replacement Conforming Changes pursuant to </w:t>
      </w:r>
      <w:r>
        <w:rPr>
          <w:rFonts w:ascii="Arial" w:cs="Arial" w:eastAsia="Arial" w:hAnsi="Arial"/>
          <w:sz w:val="19"/>
          <w:szCs w:val="19"/>
          <w:u w:val="single" w:color="auto"/>
          <w:color w:val="FF0000"/>
          <w:strike w:val="1"/>
        </w:rPr>
        <w:t>Section 2.11(b)</w:t>
      </w:r>
      <w:r>
        <w:rPr>
          <w:rFonts w:ascii="Arial" w:cs="Arial" w:eastAsia="Arial" w:hAnsi="Arial"/>
          <w:sz w:val="19"/>
          <w:szCs w:val="19"/>
          <w:u w:val="single" w:color="auto"/>
          <w:color w:val="0000FF"/>
          <w:strike w:val="1"/>
        </w:rPr>
        <w:t>Section 2.11(d)</w:t>
      </w:r>
      <w:r>
        <w:rPr>
          <w:rFonts w:ascii="Arial" w:cs="Arial" w:eastAsia="Arial" w:hAnsi="Arial"/>
          <w:sz w:val="19"/>
          <w:szCs w:val="19"/>
          <w:color w:val="000000"/>
          <w:strike w:val="1"/>
        </w:rPr>
        <w:t xml:space="preserve">), including without limitation, whether the composition or characteristics of any such alternative, successor or replacement reference rate will be similar to, or produce the same value or economic equivalence of, the Daily Simple RFR,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strike w:val="1"/>
        </w:rPr>
        <w:t>Term SOFR</w:t>
      </w:r>
      <w:r>
        <w:rPr>
          <w:rFonts w:ascii="Arial" w:cs="Arial" w:eastAsia="Arial" w:hAnsi="Arial"/>
          <w:sz w:val="19"/>
          <w:szCs w:val="19"/>
          <w:color w:val="000000"/>
          <w:strike w:val="1"/>
        </w:rPr>
        <w:t xml:space="preserve"> Rate (or the EURIBOR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-1196975</wp:posOffset>
            </wp:positionV>
            <wp:extent cx="450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45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01" w:right="339" w:bottom="1440" w:gutter="0" w:footer="0" w:header="0"/>
        </w:sectPr>
      </w:pPr>
    </w:p>
    <w:bookmarkStart w:id="132" w:name="page133"/>
    <w:bookmarkEnd w:id="132"/>
    <w:p>
      <w:pPr>
        <w:jc w:val="both"/>
        <w:spacing w:after="0" w:line="243" w:lineRule="auto"/>
        <w:rPr>
          <w:sz w:val="20"/>
          <w:szCs w:val="20"/>
          <w:color w:val="auto"/>
        </w:rPr>
      </w:pPr>
      <w:r>
        <w:rPr>
          <w:rFonts w:ascii="Arial" w:cs="Arial" w:eastAsia="Arial" w:hAnsi="Arial"/>
          <w:sz w:val="19"/>
          <w:szCs w:val="19"/>
          <w:color w:val="auto"/>
        </w:rPr>
        <w:t xml:space="preserve">Rate or AUD Rate, as applicable) or have the same volume or liquidity as did </w:t>
      </w:r>
      <w:r>
        <w:rPr>
          <w:rFonts w:ascii="Arial" w:cs="Arial" w:eastAsia="Arial" w:hAnsi="Arial"/>
          <w:sz w:val="19"/>
          <w:szCs w:val="19"/>
          <w:color w:val="FF0000"/>
          <w:strike w:val="1"/>
        </w:rPr>
        <w:t>the London interbank offered rate (or the euro</w:t>
      </w:r>
      <w:r>
        <w:rPr>
          <w:rFonts w:ascii="Arial" w:cs="Arial" w:eastAsia="Arial" w:hAnsi="Arial"/>
          <w:sz w:val="19"/>
          <w:szCs w:val="19"/>
          <w:color w:val="auto"/>
        </w:rPr>
        <w:t xml:space="preserve"> </w:t>
      </w:r>
      <w:r>
        <w:rPr>
          <w:rFonts w:ascii="Arial" w:cs="Arial" w:eastAsia="Arial" w:hAnsi="Arial"/>
          <w:sz w:val="19"/>
          <w:szCs w:val="19"/>
          <w:color w:val="FF0000"/>
          <w:strike w:val="1"/>
        </w:rPr>
        <w:t>interbank offered rate or the Tokyo interbank offered rate, as applicable)</w:t>
      </w:r>
      <w:r>
        <w:rPr>
          <w:rFonts w:ascii="Arial" w:cs="Arial" w:eastAsia="Arial" w:hAnsi="Arial"/>
          <w:sz w:val="19"/>
          <w:szCs w:val="19"/>
          <w:u w:val="single" w:color="auto"/>
          <w:color w:val="0000FF"/>
        </w:rPr>
        <w:t>any existing interest rate</w:t>
      </w:r>
      <w:r>
        <w:rPr>
          <w:rFonts w:ascii="Arial" w:cs="Arial" w:eastAsia="Arial" w:hAnsi="Arial"/>
          <w:sz w:val="19"/>
          <w:szCs w:val="19"/>
          <w:color w:val="FF0000"/>
        </w:rPr>
        <w:t xml:space="preserve"> </w:t>
      </w:r>
      <w:r>
        <w:rPr>
          <w:rFonts w:ascii="Arial" w:cs="Arial" w:eastAsia="Arial" w:hAnsi="Arial"/>
          <w:sz w:val="19"/>
          <w:szCs w:val="19"/>
          <w:color w:val="000000"/>
        </w:rPr>
        <w:t>prior to its discontinuance or</w:t>
      </w:r>
      <w:r>
        <w:rPr>
          <w:rFonts w:ascii="Arial" w:cs="Arial" w:eastAsia="Arial" w:hAnsi="Arial"/>
          <w:sz w:val="19"/>
          <w:szCs w:val="19"/>
          <w:color w:val="FF0000"/>
        </w:rPr>
        <w:t xml:space="preserve"> </w:t>
      </w:r>
      <w:r>
        <w:rPr>
          <w:rFonts w:ascii="Arial" w:cs="Arial" w:eastAsia="Arial" w:hAnsi="Arial"/>
          <w:sz w:val="19"/>
          <w:szCs w:val="19"/>
          <w:color w:val="000000"/>
        </w:rPr>
        <w:t xml:space="preserve">unavailability. The Administrative Agent and its affiliates and/or other related entities may engage in transactions that affect the calculation of any Daily Simple RFR,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RFR, Daily Simple RFR or the Term Benchmark </w:t>
      </w:r>
      <w:r>
        <w:rPr>
          <w:rFonts w:ascii="Arial" w:cs="Arial" w:eastAsia="Arial" w:hAnsi="Arial"/>
          <w:sz w:val="19"/>
          <w:szCs w:val="19"/>
          <w:color w:val="FF0000"/>
          <w:strike w:val="1"/>
        </w:rPr>
        <w:t>Rate</w:t>
      </w:r>
      <w:r>
        <w:rPr>
          <w:rFonts w:ascii="Arial" w:cs="Arial" w:eastAsia="Arial" w:hAnsi="Arial"/>
          <w:sz w:val="19"/>
          <w:szCs w:val="19"/>
          <w:color w:val="000000"/>
        </w:rPr>
        <w:t>, any component thereof, or rates referenced in the definition thereof, in each case pursuant to the terms of this Agreement,</w:t>
      </w:r>
      <w:r>
        <w:rPr>
          <w:rFonts w:ascii="Arial" w:cs="Arial" w:eastAsia="Arial" w:hAnsi="Arial"/>
          <w:sz w:val="19"/>
          <w:szCs w:val="19"/>
          <w:color w:val="FF0000"/>
        </w:rPr>
        <w:t xml:space="preserve"> </w:t>
      </w:r>
      <w:r>
        <w:rPr>
          <w:rFonts w:ascii="Arial" w:cs="Arial" w:eastAsia="Arial" w:hAnsi="Arial"/>
          <w:sz w:val="19"/>
          <w:szCs w:val="19"/>
          <w:color w:val="000000"/>
        </w:rPr>
        <w:t>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8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Letter of Credit Amounts</w:t>
      </w:r>
      <w:r>
        <w:rPr>
          <w:rFonts w:ascii="Arial" w:cs="Arial" w:eastAsia="Arial" w:hAnsi="Arial"/>
          <w:sz w:val="19"/>
          <w:szCs w:val="19"/>
          <w:color w:val="auto"/>
        </w:rPr>
        <w:t xml:space="preserve"> . Unless otherwise specified herein, the amount of a Letter of Credit at any time shall be deemed to be the Dollar Equivalent of the stated amount of such Letter of Credit available to be drawn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Letter of Credit that, by its terms or the terms of any Letter of Credit agreement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available to be drawn at such time.</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1.08 </w:t>
      </w:r>
      <w:r>
        <w:rPr>
          <w:rFonts w:ascii="Arial" w:cs="Arial" w:eastAsia="Arial" w:hAnsi="Arial"/>
          <w:sz w:val="21"/>
          <w:szCs w:val="21"/>
          <w:u w:val="single" w:color="auto"/>
          <w:color w:val="auto"/>
        </w:rPr>
        <w:t>Exchange Rates; Currency Equivalents</w:t>
      </w:r>
      <w:r>
        <w:rPr>
          <w:rFonts w:ascii="Arial" w:cs="Arial" w:eastAsia="Arial" w:hAnsi="Arial"/>
          <w:sz w:val="21"/>
          <w:szCs w:val="21"/>
          <w:color w:val="auto"/>
        </w:rPr>
        <w:t>. (a) The Administrative Agent or the Issuing Bank, as applicable, shall determine the Dollar Equivalent amounts of Term Benchmark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w:t>
      </w:r>
    </w:p>
    <w:p>
      <w:pPr>
        <w:spacing w:after="0" w:line="164" w:lineRule="exact"/>
        <w:rPr>
          <w:sz w:val="20"/>
          <w:szCs w:val="20"/>
          <w:color w:val="auto"/>
        </w:rPr>
      </w:pPr>
    </w:p>
    <w:p>
      <w:pPr>
        <w:jc w:val="both"/>
        <w:ind w:firstLine="656"/>
        <w:spacing w:after="0" w:line="214" w:lineRule="auto"/>
        <w:tabs>
          <w:tab w:leader="none" w:pos="1208" w:val="left"/>
        </w:tabs>
        <w:numPr>
          <w:ilvl w:val="0"/>
          <w:numId w:val="45"/>
        </w:numPr>
        <w:rPr>
          <w:rFonts w:ascii="Arial" w:cs="Arial" w:eastAsia="Arial" w:hAnsi="Arial"/>
          <w:sz w:val="22"/>
          <w:szCs w:val="22"/>
          <w:color w:val="auto"/>
        </w:rPr>
      </w:pPr>
      <w:r>
        <w:rPr>
          <w:rFonts w:ascii="Arial" w:cs="Arial" w:eastAsia="Arial" w:hAnsi="Arial"/>
          <w:sz w:val="22"/>
          <w:szCs w:val="22"/>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Certain Calculations and Tests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01" w:right="339" w:bottom="1440" w:gutter="0" w:footer="0" w:header="0"/>
        </w:sectPr>
      </w:pPr>
    </w:p>
    <w:bookmarkStart w:id="133" w:name="page134"/>
    <w:bookmarkEnd w:id="133"/>
    <w:p>
      <w:pPr>
        <w:jc w:val="both"/>
        <w:ind w:firstLine="656"/>
        <w:spacing w:after="0" w:line="222" w:lineRule="auto"/>
        <w:tabs>
          <w:tab w:leader="none" w:pos="1156"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the Consolidated Leverage Ratio and the Interest Coverage Ratio (and the component definitions thereof) shall be calculated in the manner prescribed by this </w:t>
      </w:r>
      <w:r>
        <w:rPr>
          <w:rFonts w:ascii="Arial" w:cs="Arial" w:eastAsia="Arial" w:hAnsi="Arial"/>
          <w:sz w:val="21"/>
          <w:szCs w:val="21"/>
          <w:u w:val="single" w:color="auto"/>
          <w:color w:val="auto"/>
        </w:rPr>
        <w:t>Section 1.09</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to the contrary in </w:t>
      </w:r>
      <w:r>
        <w:rPr>
          <w:rFonts w:ascii="Arial" w:cs="Arial" w:eastAsia="Arial" w:hAnsi="Arial"/>
          <w:sz w:val="21"/>
          <w:szCs w:val="21"/>
          <w:u w:val="single" w:color="auto"/>
          <w:color w:val="auto"/>
        </w:rPr>
        <w:t>subsections (b)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1.09</w:t>
      </w:r>
      <w:r>
        <w:rPr>
          <w:rFonts w:ascii="Arial" w:cs="Arial" w:eastAsia="Arial" w:hAnsi="Arial"/>
          <w:sz w:val="21"/>
          <w:szCs w:val="21"/>
          <w:color w:val="auto"/>
        </w:rPr>
        <w:t xml:space="preserve">, when calculating the Consolidated Leverage Ratio and the Interest Coverage Ratio (and the component definitions thereof), as applicable, for purposes of determining actual compliance (and not Pro Forma compliance or compliance on a Pro Forma Basis) with any financial covenant pursuant to </w:t>
      </w:r>
      <w:r>
        <w:rPr>
          <w:rFonts w:ascii="Arial" w:cs="Arial" w:eastAsia="Arial" w:hAnsi="Arial"/>
          <w:sz w:val="21"/>
          <w:szCs w:val="21"/>
          <w:u w:val="single" w:color="auto"/>
          <w:color w:val="auto"/>
        </w:rPr>
        <w:t>Section 6.10</w:t>
      </w:r>
      <w:r>
        <w:rPr>
          <w:rFonts w:ascii="Arial" w:cs="Arial" w:eastAsia="Arial" w:hAnsi="Arial"/>
          <w:sz w:val="21"/>
          <w:szCs w:val="21"/>
          <w:color w:val="auto"/>
        </w:rPr>
        <w:t xml:space="preserve">, the events described in this </w:t>
      </w:r>
      <w:r>
        <w:rPr>
          <w:rFonts w:ascii="Arial" w:cs="Arial" w:eastAsia="Arial" w:hAnsi="Arial"/>
          <w:sz w:val="21"/>
          <w:szCs w:val="21"/>
          <w:u w:val="single" w:color="auto"/>
          <w:color w:val="auto"/>
        </w:rPr>
        <w:t>Section 1.09</w:t>
      </w:r>
      <w:r>
        <w:rPr>
          <w:rFonts w:ascii="Arial" w:cs="Arial" w:eastAsia="Arial" w:hAnsi="Arial"/>
          <w:sz w:val="21"/>
          <w:szCs w:val="21"/>
          <w:color w:val="auto"/>
        </w:rPr>
        <w:t xml:space="preserve"> that occurred subsequent to the end of the applicable Measurement Period shall not be given Pro Forma Effect.</w:t>
      </w:r>
    </w:p>
    <w:p>
      <w:pPr>
        <w:spacing w:after="0" w:line="164" w:lineRule="exact"/>
        <w:rPr>
          <w:rFonts w:ascii="Arial" w:cs="Arial" w:eastAsia="Arial" w:hAnsi="Arial"/>
          <w:sz w:val="21"/>
          <w:szCs w:val="21"/>
          <w:color w:val="auto"/>
        </w:rPr>
      </w:pPr>
    </w:p>
    <w:p>
      <w:pPr>
        <w:jc w:val="both"/>
        <w:ind w:firstLine="656"/>
        <w:spacing w:after="0" w:line="243" w:lineRule="auto"/>
        <w:tabs>
          <w:tab w:leader="none" w:pos="1181"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For purposes of calculating the Consolidated Leverage Ratio and the Interest Coverage Ratio (and the component definitions thereof), Specified Transactions that have been consummated (i) during the applicable Measurement Period or (ii) subsequent to such Measurement Period and prior to or simultaneously with the event for which the calculation of any such ratio is made in each case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If, since the beginning of any applicable Measurement Period, any Person that subsequently became a Subsidiary or was merged, amalgamated or consolidated with or into the Borrower or any of its Subsidiaries since the beginning of such Measurement Period shall have made any Specified Transaction that would have required adjustment pursuant to this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then the Consolidated Leverage Ratio and the Interest Coverage Ratio (and the component definitions thereof) shall be calculated to give Pro Forma Effect thereto in accordance with this </w:t>
      </w:r>
      <w:r>
        <w:rPr>
          <w:rFonts w:ascii="Arial" w:cs="Arial" w:eastAsia="Arial" w:hAnsi="Arial"/>
          <w:sz w:val="19"/>
          <w:szCs w:val="19"/>
          <w:u w:val="single" w:color="auto"/>
          <w:color w:val="auto"/>
        </w:rPr>
        <w:t>Section 1.09</w:t>
      </w:r>
      <w:r>
        <w:rPr>
          <w:rFonts w:ascii="Arial" w:cs="Arial" w:eastAsia="Arial" w:hAnsi="Arial"/>
          <w:sz w:val="19"/>
          <w:szCs w:val="19"/>
          <w:color w:val="auto"/>
        </w:rPr>
        <w:t>.</w:t>
      </w:r>
    </w:p>
    <w:p>
      <w:pPr>
        <w:spacing w:after="0" w:line="379" w:lineRule="exact"/>
        <w:rPr>
          <w:rFonts w:ascii="Arial" w:cs="Arial" w:eastAsia="Arial" w:hAnsi="Arial"/>
          <w:sz w:val="19"/>
          <w:szCs w:val="19"/>
          <w:color w:val="auto"/>
        </w:rPr>
      </w:pPr>
    </w:p>
    <w:p>
      <w:pPr>
        <w:jc w:val="both"/>
        <w:ind w:firstLine="656"/>
        <w:spacing w:after="0"/>
        <w:tabs>
          <w:tab w:leader="none" w:pos="1112"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In the event that the Borrower or any Subsidiary incurs (including by assumption or guarantees) or repays (including by redemption, repayment, prepayment, retirement, exchange, extinguishment or satisfaction and discharge) any Indebtedness included in the calculations of the Consolidated Leverage Ratio and the Interest Coverage Ratio (and the component definitions thereof), as the case may be (in each case, other than Indebtedness incurred or repaid under this Agreement), (i) during the applicable Measurement Period and/or (ii) subsequent to the end of the applicable Measurement Period and prior to or simultaneously with the event for which the calculation of any such ratio is made, then the Consolidated Leverage Ratio and the Interest Coverage Ratio (and the component definitions thereof) shall be calculated giving Pro Forma Effect to such incurrence or repayment of Indebtedness, to the extent required, as if the same had occurred on (A) the last day of the applicable Measurement Period in the case of the Consolidated Leverage Ratio and (B) the first day of the applicable Measurement Period in the case of the Interest Coverage Ratio. If any Indebtedness bears a floating rate of interest and is being given Pro Forma Effect, the interest on such Indebtedness shall be calculated as if the rate in effect on the date of the event for which the calculation of the Interest Coverage Ratio is made had been the applicable rate for the entire period (taking into account any hedging obligations applicable to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repayment of any Indebtedness, to the extent actual interest related thereto was included during all or any portion of the applicable Measurement Period, the actual interest may be used for the applicable portion of such Measurement Period. Interest on a Capital Lease Obligation shall be deemed to accrue at an interest rate reasonably determined by a Financial Officer of the Borrower to be the rate of interest implicit in such Capital Lease Obligation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may designate.</w:t>
      </w:r>
    </w:p>
    <w:p>
      <w:pPr>
        <w:spacing w:after="0" w:line="168" w:lineRule="exact"/>
        <w:rPr>
          <w:rFonts w:ascii="Arial" w:cs="Arial" w:eastAsia="Arial" w:hAnsi="Arial"/>
          <w:sz w:val="19"/>
          <w:szCs w:val="19"/>
          <w:color w:val="auto"/>
        </w:rPr>
      </w:pPr>
    </w:p>
    <w:p>
      <w:pPr>
        <w:ind w:firstLine="656"/>
        <w:spacing w:after="0" w:line="232" w:lineRule="auto"/>
        <w:tabs>
          <w:tab w:leader="none" w:pos="1171"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Notwithstanding anything to the contrary herein, unless the Borrower otherwise notifies the Administrative Agent, with respect to any amounts incurred or transactions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01" w:right="339" w:bottom="1440" w:gutter="0" w:footer="0" w:header="0"/>
        </w:sectPr>
      </w:pPr>
    </w:p>
    <w:bookmarkStart w:id="134" w:name="page135"/>
    <w:bookmarkEnd w:id="134"/>
    <w:p>
      <w:pPr>
        <w:jc w:val="both"/>
        <w:spacing w:after="0" w:line="214" w:lineRule="auto"/>
        <w:rPr>
          <w:sz w:val="20"/>
          <w:szCs w:val="20"/>
          <w:color w:val="auto"/>
        </w:rPr>
      </w:pPr>
      <w:r>
        <w:rPr>
          <w:rFonts w:ascii="Arial" w:cs="Arial" w:eastAsia="Arial" w:hAnsi="Arial"/>
          <w:sz w:val="22"/>
          <w:szCs w:val="22"/>
          <w:color w:val="auto"/>
        </w:rPr>
        <w:t>into (or consummated) in reliance on a provision of this Agreement that does not require compliance with a financial ratio or test (any such amounts, the “</w:t>
      </w:r>
      <w:r>
        <w:rPr>
          <w:rFonts w:ascii="Arial" w:cs="Arial" w:eastAsia="Arial" w:hAnsi="Arial"/>
          <w:sz w:val="22"/>
          <w:szCs w:val="22"/>
          <w:b w:val="1"/>
          <w:bCs w:val="1"/>
          <w:color w:val="auto"/>
        </w:rPr>
        <w:t>Fixed Amounts</w:t>
      </w:r>
      <w:r>
        <w:rPr>
          <w:rFonts w:ascii="Arial" w:cs="Arial" w:eastAsia="Arial" w:hAnsi="Arial"/>
          <w:sz w:val="22"/>
          <w:szCs w:val="22"/>
          <w:color w:val="auto"/>
        </w:rPr>
        <w:t>”) substantially concurrently with any amounts incurred or transactions entered into (or consummated) in reliance on a provision of this Agreement that requires compliance with a financial ratio or test (any such amounts, the “</w:t>
      </w:r>
      <w:r>
        <w:rPr>
          <w:rFonts w:ascii="Arial" w:cs="Arial" w:eastAsia="Arial" w:hAnsi="Arial"/>
          <w:sz w:val="22"/>
          <w:szCs w:val="22"/>
          <w:b w:val="1"/>
          <w:bCs w:val="1"/>
          <w:color w:val="auto"/>
        </w:rPr>
        <w:t>Incurrence-Based Amounts</w:t>
      </w:r>
      <w:r>
        <w:rPr>
          <w:rFonts w:ascii="Arial" w:cs="Arial" w:eastAsia="Arial" w:hAnsi="Arial"/>
          <w:sz w:val="22"/>
          <w:szCs w:val="22"/>
          <w:color w:val="auto"/>
        </w:rPr>
        <w:t>”), it is understood and agreed that the Fixed Amounts shall be disregarded in the calculation of the financial ratio or test applicable to the Incurrence-Based Amounts in connection with such substantially concurrent incurrence.</w:t>
      </w:r>
    </w:p>
    <w:p>
      <w:pPr>
        <w:spacing w:after="0" w:line="159" w:lineRule="exact"/>
        <w:rPr>
          <w:sz w:val="20"/>
          <w:szCs w:val="20"/>
          <w:color w:val="auto"/>
        </w:rPr>
      </w:pPr>
    </w:p>
    <w:p>
      <w:pPr>
        <w:jc w:val="both"/>
        <w:ind w:firstLine="656"/>
        <w:spacing w:after="0" w:line="218" w:lineRule="auto"/>
        <w:tabs>
          <w:tab w:leader="none" w:pos="1138"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 the avoidance of doubt, notwithstanding any classification under GAAP of any Person or business in respect of which a definitive agreement for the Disposition thereof has been entered into as discontinued operations, the earnings of such Person or business shall not be excluded from the calculation of Consolidated EBITDA until such Disposition shall have been consummated.</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u w:val="single" w:color="auto"/>
          <w:color w:val="auto"/>
        </w:rPr>
        <w:t>Australian Terms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174"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Without limiting </w:t>
      </w:r>
      <w:r>
        <w:rPr>
          <w:rFonts w:ascii="Arial" w:cs="Arial" w:eastAsia="Arial" w:hAnsi="Arial"/>
          <w:sz w:val="22"/>
          <w:szCs w:val="22"/>
          <w:u w:val="single" w:color="auto"/>
          <w:color w:val="auto"/>
        </w:rPr>
        <w:t>Section 8.08</w:t>
      </w:r>
      <w:r>
        <w:rPr>
          <w:rFonts w:ascii="Arial" w:cs="Arial" w:eastAsia="Arial" w:hAnsi="Arial"/>
          <w:sz w:val="22"/>
          <w:szCs w:val="22"/>
          <w:color w:val="auto"/>
        </w:rPr>
        <w:t>, in relation to Security Documents that are governed by the laws of Australia, each present and future Secured Party appoints and authorizes the Administrative Agent (in its capacity as “collateral agent”) to hold each such Security Document as security trustee on its behalf.</w:t>
      </w:r>
    </w:p>
    <w:p>
      <w:pPr>
        <w:spacing w:after="0" w:line="158" w:lineRule="exact"/>
        <w:rPr>
          <w:rFonts w:ascii="Arial" w:cs="Arial" w:eastAsia="Arial" w:hAnsi="Arial"/>
          <w:sz w:val="22"/>
          <w:szCs w:val="22"/>
          <w:color w:val="auto"/>
        </w:rPr>
      </w:pPr>
    </w:p>
    <w:p>
      <w:pPr>
        <w:ind w:firstLine="656"/>
        <w:spacing w:after="0" w:line="232" w:lineRule="auto"/>
        <w:tabs>
          <w:tab w:leader="none" w:pos="123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parties agree that the Australian Banking Code of Practice does not apply to the Loan Documents and the transactions under them.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jc w:val="center"/>
        <w:spacing w:after="0"/>
        <w:rPr>
          <w:sz w:val="20"/>
          <w:szCs w:val="20"/>
          <w:color w:val="auto"/>
        </w:rPr>
      </w:pPr>
      <w:r>
        <w:rPr>
          <w:rFonts w:ascii="Arial" w:cs="Arial" w:eastAsia="Arial" w:hAnsi="Arial"/>
          <w:sz w:val="22"/>
          <w:szCs w:val="22"/>
          <w:b w:val="1"/>
          <w:bCs w:val="1"/>
          <w:color w:val="auto"/>
        </w:rPr>
        <w:t>THE CREDITS</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Commitments</w:t>
      </w:r>
      <w:r>
        <w:rPr>
          <w:rFonts w:ascii="Arial" w:cs="Arial" w:eastAsia="Arial" w:hAnsi="Arial"/>
          <w:sz w:val="21"/>
          <w:szCs w:val="21"/>
          <w:color w:val="auto"/>
        </w:rPr>
        <w:t>. Subject to the terms and conditions set forth herein, each Lender severally agrees to make Loans in Dollars or in one or more Alternative Currencies to the Borrower from time to time during the Availability Period in an aggregate principal amount that will not result in (a) the Dollar Equivalent of such Lender’s Revolving Credit Exposure exceeding such Lender’s Commitment or (b) the sum of the Dollar Equivalents of the total Revolving Credit Exposures of all Lenders exceeding the total Commitments of all Lenders. Within the foregoing limits and subject to the terms and conditions set forth herein, the Borrower may borrow, prepay and reborrow Loans.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Loans and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8" w:lineRule="auto"/>
        <w:tabs>
          <w:tab w:leader="none" w:pos="11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Each Loan shall be made as part of a Borrowing consisting of Loans made by the Lenders in accordance with their respective Applicable Percentages.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60" w:lineRule="exact"/>
        <w:rPr>
          <w:rFonts w:ascii="Arial" w:cs="Arial" w:eastAsia="Arial" w:hAnsi="Arial"/>
          <w:sz w:val="22"/>
          <w:szCs w:val="22"/>
          <w:color w:val="auto"/>
        </w:rPr>
      </w:pPr>
    </w:p>
    <w:p>
      <w:pPr>
        <w:jc w:val="both"/>
        <w:ind w:firstLine="656"/>
        <w:spacing w:after="0" w:line="249" w:lineRule="auto"/>
        <w:tabs>
          <w:tab w:leader="none" w:pos="1191"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each Borrowing shall be comprised (A) in the case of Borrowings in Dollars, entirely of ABR Loans or Term Benchmark Loans and (B) in the case of Borrowings in any other Agreed Currency, entirely of Term Benchmark Loans or RFR Loans, as applicable, in each case of the same Agreed Currency, as the Borrower may request in accordance herewith. Each Lender at its option may make any Term Benchmark Loan or RFR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01" w:right="339" w:bottom="1440" w:gutter="0" w:footer="0" w:header="0"/>
        </w:sectPr>
      </w:pPr>
    </w:p>
    <w:bookmarkStart w:id="135" w:name="page136"/>
    <w:bookmarkEnd w:id="135"/>
    <w:p>
      <w:pPr>
        <w:jc w:val="both"/>
        <w:ind w:firstLine="656"/>
        <w:spacing w:after="0" w:line="221" w:lineRule="auto"/>
        <w:tabs>
          <w:tab w:leader="none" w:pos="1154"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At the commencement of each Interest Period for any Term Benchmark Borrowing, such Borrowing shall be in an aggregate amount that is an integral multiple of the Dollar Equivalent of $1,000,000 and not less than the Dollar Equivalent of $1,000,000. At the time that each ABR Borrowing and/or RFR Borrowing is made, such Borrowing shall be in an aggregate amount that is an integral multiple of the Dollar Equivalent of $1,000,000 and not less than the Dollar Equivalent of $1,000,000;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ABR Borrowing may be in an aggregate amount that is equal to the entire unused balance of the total Commitments or that is required to finance the reimbursement of an LC Disbursement as contemplated by </w:t>
      </w:r>
      <w:r>
        <w:rPr>
          <w:rFonts w:ascii="Arial" w:cs="Arial" w:eastAsia="Arial" w:hAnsi="Arial"/>
          <w:sz w:val="21"/>
          <w:szCs w:val="21"/>
          <w:u w:val="single" w:color="auto"/>
          <w:color w:val="auto"/>
        </w:rPr>
        <w:t>Section 2.19(e)</w:t>
      </w:r>
      <w:r>
        <w:rPr>
          <w:rFonts w:ascii="Arial" w:cs="Arial" w:eastAsia="Arial" w:hAnsi="Arial"/>
          <w:sz w:val="21"/>
          <w:szCs w:val="21"/>
          <w:color w:val="auto"/>
        </w:rPr>
        <w:t xml:space="preserve">. Borrowings of more than one Type may be outstanding at the same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not at any time be more than a total of fifteen Term Benchmark Borrowings or RFR Borrowings outstanding.</w:t>
      </w:r>
    </w:p>
    <w:p>
      <w:pPr>
        <w:spacing w:after="0" w:line="165" w:lineRule="exact"/>
        <w:rPr>
          <w:rFonts w:ascii="Arial" w:cs="Arial" w:eastAsia="Arial" w:hAnsi="Arial"/>
          <w:sz w:val="21"/>
          <w:szCs w:val="21"/>
          <w:color w:val="auto"/>
        </w:rPr>
      </w:pPr>
    </w:p>
    <w:p>
      <w:pPr>
        <w:ind w:firstLine="656"/>
        <w:spacing w:after="0" w:line="298" w:lineRule="auto"/>
        <w:tabs>
          <w:tab w:leader="none" w:pos="11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Requests for Borrowings</w:t>
      </w:r>
      <w:r>
        <w:rPr>
          <w:rFonts w:ascii="Arial" w:cs="Arial" w:eastAsia="Arial" w:hAnsi="Arial"/>
          <w:sz w:val="19"/>
          <w:szCs w:val="19"/>
          <w:color w:val="auto"/>
        </w:rPr>
        <w:t xml:space="preserve"> . To request a Borrowing, the Borrower shall notify the Administrative Agent of such request by telephone or telecopy (i)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in the case of a </w:t>
      </w:r>
      <w:r>
        <w:rPr>
          <w:rFonts w:ascii="Arial" w:cs="Arial" w:eastAsia="Arial" w:hAnsi="Arial"/>
          <w:sz w:val="19"/>
          <w:szCs w:val="19"/>
          <w:u w:val="single" w:color="auto"/>
          <w:color w:val="0000FF"/>
        </w:rPr>
        <w:t>Term Benchmark Borrowing denominated in Dollars, not later than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11:00 a.m., New York City time, three U.S. Government Securities Business Days before the date of the proposed Borrowing and</w:t>
      </w:r>
    </w:p>
    <w:p>
      <w:pPr>
        <w:spacing w:after="0" w:line="2" w:lineRule="exact"/>
        <w:rPr>
          <w:sz w:val="20"/>
          <w:szCs w:val="20"/>
          <w:color w:val="auto"/>
        </w:rPr>
      </w:pPr>
    </w:p>
    <w:p>
      <w:pPr>
        <w:jc w:val="both"/>
        <w:ind w:firstLine="8"/>
        <w:spacing w:after="0" w:line="220" w:lineRule="auto"/>
        <w:tabs>
          <w:tab w:leader="none" w:pos="359" w:val="left"/>
        </w:tabs>
        <w:numPr>
          <w:ilvl w:val="0"/>
          <w:numId w:val="51"/>
        </w:numPr>
        <w:rPr>
          <w:rFonts w:ascii="Arial" w:cs="Arial" w:eastAsia="Arial" w:hAnsi="Arial"/>
          <w:sz w:val="21"/>
          <w:szCs w:val="21"/>
          <w:u w:val="single" w:color="auto"/>
          <w:color w:val="0000FF"/>
        </w:rPr>
      </w:pPr>
      <w:r>
        <w:rPr>
          <w:rFonts w:ascii="Arial" w:cs="Arial" w:eastAsia="Arial" w:hAnsi="Arial"/>
          <w:sz w:val="21"/>
          <w:szCs w:val="21"/>
          <w:u w:val="single" w:color="auto"/>
          <w:color w:val="008000"/>
        </w:rPr>
        <w:t>in the case of any</w:t>
      </w:r>
      <w:r>
        <w:rPr>
          <w:rFonts w:ascii="Arial" w:cs="Arial" w:eastAsia="Arial" w:hAnsi="Arial"/>
          <w:sz w:val="21"/>
          <w:szCs w:val="21"/>
          <w:color w:val="008000"/>
        </w:rPr>
        <w:t xml:space="preserve"> </w:t>
      </w:r>
      <w:r>
        <w:rPr>
          <w:rFonts w:ascii="Arial" w:cs="Arial" w:eastAsia="Arial" w:hAnsi="Arial"/>
          <w:sz w:val="21"/>
          <w:szCs w:val="21"/>
          <w:u w:val="single" w:color="auto"/>
          <w:color w:val="0000FF"/>
        </w:rPr>
        <w:t>other</w:t>
      </w:r>
      <w:r>
        <w:rPr>
          <w:rFonts w:ascii="Arial" w:cs="Arial" w:eastAsia="Arial" w:hAnsi="Arial"/>
          <w:sz w:val="21"/>
          <w:szCs w:val="21"/>
          <w:color w:val="008000"/>
        </w:rPr>
        <w:t xml:space="preserve"> </w:t>
      </w:r>
      <w:r>
        <w:rPr>
          <w:rFonts w:ascii="Arial" w:cs="Arial" w:eastAsia="Arial" w:hAnsi="Arial"/>
          <w:sz w:val="21"/>
          <w:szCs w:val="21"/>
          <w:color w:val="000000"/>
        </w:rPr>
        <w:t>Term Benchmark Borrowing, not later than 12:00 noon, New York City time, three Business Days</w:t>
      </w:r>
      <w:r>
        <w:rPr>
          <w:rFonts w:ascii="Arial" w:cs="Arial" w:eastAsia="Arial" w:hAnsi="Arial"/>
          <w:sz w:val="21"/>
          <w:szCs w:val="21"/>
          <w:color w:val="008000"/>
        </w:rPr>
        <w:t xml:space="preserve"> </w:t>
      </w:r>
      <w:r>
        <w:rPr>
          <w:rFonts w:ascii="Arial" w:cs="Arial" w:eastAsia="Arial" w:hAnsi="Arial"/>
          <w:sz w:val="21"/>
          <w:szCs w:val="21"/>
          <w:color w:val="000000"/>
        </w:rPr>
        <w:t xml:space="preserve">before the date of the proposed Borrowing, (ii) in the case of an RFR Borrowing denominated in Sterling, not later than 11:00 a.m., New York City time, five Business Days before the date of the proposed Borrowing or (iii) in the case of an ABR Borrowing, not later than 10:00 a.m., New York City time, on the date of the proposed Borrowing. Each such telephonic Borrowing Request shall be confirmed promptly by delivery to the Administrative Agent of a written Borrowing Request in substantially the form of </w:t>
      </w:r>
      <w:r>
        <w:rPr>
          <w:rFonts w:ascii="Arial" w:cs="Arial" w:eastAsia="Arial" w:hAnsi="Arial"/>
          <w:sz w:val="21"/>
          <w:szCs w:val="21"/>
          <w:u w:val="single" w:color="auto"/>
          <w:color w:val="000000"/>
        </w:rPr>
        <w:t>Exhibit B-1</w:t>
      </w:r>
      <w:r>
        <w:rPr>
          <w:rFonts w:ascii="Arial" w:cs="Arial" w:eastAsia="Arial" w:hAnsi="Arial"/>
          <w:sz w:val="21"/>
          <w:szCs w:val="21"/>
          <w:color w:val="000000"/>
        </w:rPr>
        <w:t xml:space="preserve"> attached hereto and signed by the Borrower. Each such telephonic and written Borrowing Request shall specify the following information in compliance with </w:t>
      </w:r>
      <w:r>
        <w:rPr>
          <w:rFonts w:ascii="Arial" w:cs="Arial" w:eastAsia="Arial" w:hAnsi="Arial"/>
          <w:sz w:val="21"/>
          <w:szCs w:val="21"/>
          <w:u w:val="single" w:color="auto"/>
          <w:color w:val="000000"/>
        </w:rPr>
        <w:t>Section 2.02</w:t>
      </w:r>
      <w:r>
        <w:rPr>
          <w:rFonts w:ascii="Arial" w:cs="Arial" w:eastAsia="Arial" w:hAnsi="Arial"/>
          <w:sz w:val="21"/>
          <w:szCs w:val="21"/>
          <w:color w:val="000000"/>
        </w:rPr>
        <w:t>:</w:t>
      </w:r>
    </w:p>
    <w:p>
      <w:pPr>
        <w:spacing w:after="0" w:line="160" w:lineRule="exact"/>
        <w:rPr>
          <w:rFonts w:ascii="Arial" w:cs="Arial" w:eastAsia="Arial" w:hAnsi="Arial"/>
          <w:sz w:val="21"/>
          <w:szCs w:val="21"/>
          <w:u w:val="single" w:color="auto"/>
          <w:color w:val="0000FF"/>
        </w:rPr>
      </w:pPr>
    </w:p>
    <w:p>
      <w:pPr>
        <w:ind w:left="1720" w:hanging="416"/>
        <w:spacing w:after="0"/>
        <w:tabs>
          <w:tab w:leader="none" w:pos="17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Agreed Currency and aggregate amount of the requested Borrowing;</w:t>
      </w:r>
    </w:p>
    <w:p>
      <w:pPr>
        <w:spacing w:after="0" w:line="179" w:lineRule="exact"/>
        <w:rPr>
          <w:rFonts w:ascii="Arial" w:cs="Arial" w:eastAsia="Arial" w:hAnsi="Arial"/>
          <w:sz w:val="22"/>
          <w:szCs w:val="22"/>
          <w:color w:val="auto"/>
        </w:rPr>
      </w:pPr>
    </w:p>
    <w:p>
      <w:pPr>
        <w:ind w:left="1780" w:hanging="476"/>
        <w:spacing w:after="0"/>
        <w:tabs>
          <w:tab w:leader="none" w:pos="178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whether such Borrowing is to be an ABR Borrowing, a Term Benchmark Borrowing or an RFR Borrowing;</w:t>
      </w:r>
    </w:p>
    <w:p>
      <w:pPr>
        <w:spacing w:after="0" w:line="213" w:lineRule="exact"/>
        <w:rPr>
          <w:rFonts w:ascii="Arial" w:cs="Arial" w:eastAsia="Arial" w:hAnsi="Arial"/>
          <w:sz w:val="19"/>
          <w:szCs w:val="19"/>
          <w:color w:val="auto"/>
        </w:rPr>
      </w:pPr>
    </w:p>
    <w:p>
      <w:pPr>
        <w:ind w:firstLine="1304"/>
        <w:spacing w:after="0" w:line="232" w:lineRule="auto"/>
        <w:tabs>
          <w:tab w:leader="none" w:pos="1852" w:val="left"/>
        </w:tabs>
        <w:numPr>
          <w:ilvl w:val="1"/>
          <w:numId w:val="51"/>
        </w:numPr>
        <w:rPr>
          <w:rFonts w:ascii="Arial" w:cs="Arial" w:eastAsia="Arial" w:hAnsi="Arial"/>
          <w:sz w:val="22"/>
          <w:szCs w:val="22"/>
          <w:color w:val="auto"/>
        </w:rPr>
      </w:pPr>
      <w:r>
        <w:rPr>
          <w:rFonts w:ascii="Arial" w:cs="Arial" w:eastAsia="Arial" w:hAnsi="Arial"/>
          <w:sz w:val="22"/>
          <w:szCs w:val="22"/>
          <w:color w:val="auto"/>
        </w:rPr>
        <w:t>in the case of a Term Benchmark Borrowing, the initial Interest Period to be applicable thereto, which shall be a period contemplated by the definition of the term “Interest Period”; and</w:t>
      </w:r>
    </w:p>
    <w:p>
      <w:pPr>
        <w:spacing w:after="0" w:line="158" w:lineRule="exact"/>
        <w:rPr>
          <w:rFonts w:ascii="Arial" w:cs="Arial" w:eastAsia="Arial" w:hAnsi="Arial"/>
          <w:sz w:val="22"/>
          <w:szCs w:val="22"/>
          <w:color w:val="auto"/>
        </w:rPr>
      </w:pPr>
    </w:p>
    <w:p>
      <w:pPr>
        <w:ind w:firstLine="1304"/>
        <w:spacing w:after="0" w:line="232" w:lineRule="auto"/>
        <w:tabs>
          <w:tab w:leader="none" w:pos="1807"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the location and number of the account or accounts to which funds are to be disbursed, which shall comply with the requirements of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If no election as to the currency of a Borrowing is specified, then the requested Revolving Borrowing shall be made in Dollars. 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Except as otherwise provided herein, a Borrowing Request for a Term Benchmark Borrowing shall be irrevocable on and after the related Interest Rate Determination Date, and the Borrower shall be bound to make a borrowing in accordance therewith.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01" w:right="339" w:bottom="1440" w:gutter="0" w:footer="0" w:header="0"/>
        </w:sectPr>
      </w:pPr>
    </w:p>
    <w:bookmarkStart w:id="136" w:name="page137"/>
    <w:bookmarkEnd w:id="136"/>
    <w:p>
      <w:pPr>
        <w:jc w:val="both"/>
        <w:spacing w:after="0" w:line="257" w:lineRule="auto"/>
        <w:rPr>
          <w:sz w:val="20"/>
          <w:szCs w:val="20"/>
          <w:color w:val="auto"/>
        </w:rPr>
      </w:pPr>
      <w:r>
        <w:rPr>
          <w:rFonts w:ascii="Arial" w:cs="Arial" w:eastAsia="Arial" w:hAnsi="Arial"/>
          <w:sz w:val="19"/>
          <w:szCs w:val="19"/>
          <w:color w:val="auto"/>
        </w:rPr>
        <w:t>practicable after 10:00 a.m., New York City time, on each Interest Rate Determination Date, Administrative Agent shall determine (which determination shall, absent manifest error, be final, conclusive and binding upon all parties) the interest rate that shall apply to the Term Benchmark Borrowing for which an interest rate is then being determined for the applicable Interest Period and shall promptly give notice thereof (in writing or by telephone confirmed in writing) to the Borrower and each Lender.</w:t>
      </w:r>
    </w:p>
    <w:p>
      <w:pPr>
        <w:spacing w:after="0" w:line="14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Funding of Borrowings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9" w:lineRule="auto"/>
        <w:tabs>
          <w:tab w:leader="none" w:pos="1198"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or accounts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made to finance the reimbursement of an LC Disbursement as provided in </w:t>
      </w:r>
      <w:r>
        <w:rPr>
          <w:rFonts w:ascii="Arial" w:cs="Arial" w:eastAsia="Arial" w:hAnsi="Arial"/>
          <w:sz w:val="19"/>
          <w:szCs w:val="19"/>
          <w:u w:val="single" w:color="auto"/>
          <w:color w:val="auto"/>
        </w:rPr>
        <w:t>Section 2.19(e)</w:t>
      </w:r>
      <w:r>
        <w:rPr>
          <w:rFonts w:ascii="Arial" w:cs="Arial" w:eastAsia="Arial" w:hAnsi="Arial"/>
          <w:sz w:val="19"/>
          <w:szCs w:val="19"/>
          <w:color w:val="auto"/>
        </w:rPr>
        <w:t xml:space="preserve"> shall be remitted by the Administrative Agent to the applicable Issuing Bank.</w:t>
      </w:r>
    </w:p>
    <w:p>
      <w:pPr>
        <w:spacing w:after="0" w:line="151" w:lineRule="exact"/>
        <w:rPr>
          <w:rFonts w:ascii="Arial" w:cs="Arial" w:eastAsia="Arial" w:hAnsi="Arial"/>
          <w:sz w:val="19"/>
          <w:szCs w:val="19"/>
          <w:color w:val="auto"/>
        </w:rPr>
      </w:pPr>
    </w:p>
    <w:p>
      <w:pPr>
        <w:jc w:val="both"/>
        <w:ind w:firstLine="656"/>
        <w:spacing w:after="0" w:line="242" w:lineRule="auto"/>
        <w:tabs>
          <w:tab w:leader="none" w:pos="1278" w:val="left"/>
        </w:tabs>
        <w:numPr>
          <w:ilvl w:val="0"/>
          <w:numId w:val="52"/>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Borrower a corresponding amount. In such event, if a Lender has not in fact made its Applicable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3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Interest Elections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7" w:lineRule="auto"/>
        <w:tabs>
          <w:tab w:leader="none" w:pos="1159" w:val="left"/>
        </w:tabs>
        <w:numPr>
          <w:ilvl w:val="0"/>
          <w:numId w:val="53"/>
        </w:numPr>
        <w:rPr>
          <w:rFonts w:ascii="Arial" w:cs="Arial" w:eastAsia="Arial" w:hAnsi="Arial"/>
          <w:sz w:val="19"/>
          <w:szCs w:val="19"/>
          <w:color w:val="auto"/>
        </w:rPr>
      </w:pPr>
      <w:r>
        <w:rPr>
          <w:rFonts w:ascii="Arial" w:cs="Arial" w:eastAsia="Arial" w:hAnsi="Arial"/>
          <w:sz w:val="19"/>
          <w:szCs w:val="19"/>
          <w:color w:val="auto"/>
        </w:rPr>
        <w:t>Each Borrowing initially shall be of the Type and Agreed Currency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among the Lenders holding the Loans comprising such Borrowing in accordance with their respective Applicable Percentages, and the Loans comprising each such portion shall be considered a separate Borrowing.</w:t>
      </w:r>
    </w:p>
    <w:p>
      <w:pPr>
        <w:spacing w:after="0" w:line="153" w:lineRule="exact"/>
        <w:rPr>
          <w:rFonts w:ascii="Arial" w:cs="Arial" w:eastAsia="Arial" w:hAnsi="Arial"/>
          <w:sz w:val="19"/>
          <w:szCs w:val="19"/>
          <w:color w:val="auto"/>
        </w:rPr>
      </w:pPr>
    </w:p>
    <w:p>
      <w:pPr>
        <w:jc w:val="both"/>
        <w:ind w:firstLine="656"/>
        <w:spacing w:after="0" w:line="218" w:lineRule="auto"/>
        <w:tabs>
          <w:tab w:leader="none" w:pos="1131"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To make an election pursuant to this Section, the Borrower shall notify the Administrative Agent of such election by telephone by the time that a Borrowing Request would be required under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if the Borrower were requesting a Borrowing of the Type resulting from such election to be made on the effective date of such election. Each such telephonic request shall be irrevocable and shall be confirmed promptly by hand delivery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01" w:right="339" w:bottom="1440" w:gutter="0" w:footer="0" w:header="0"/>
        </w:sectPr>
      </w:pPr>
    </w:p>
    <w:bookmarkStart w:id="137" w:name="page138"/>
    <w:bookmarkEnd w:id="137"/>
    <w:p>
      <w:pPr>
        <w:spacing w:after="0" w:line="235" w:lineRule="auto"/>
        <w:rPr>
          <w:sz w:val="20"/>
          <w:szCs w:val="20"/>
          <w:color w:val="auto"/>
        </w:rPr>
      </w:pPr>
      <w:r>
        <w:rPr>
          <w:rFonts w:ascii="Arial" w:cs="Arial" w:eastAsia="Arial" w:hAnsi="Arial"/>
          <w:sz w:val="22"/>
          <w:szCs w:val="22"/>
          <w:color w:val="auto"/>
        </w:rPr>
        <w:t>telecopy to the Administrative Agent of a written request (an “</w:t>
      </w:r>
      <w:r>
        <w:rPr>
          <w:rFonts w:ascii="Arial" w:cs="Arial" w:eastAsia="Arial" w:hAnsi="Arial"/>
          <w:sz w:val="22"/>
          <w:szCs w:val="22"/>
          <w:b w:val="1"/>
          <w:bCs w:val="1"/>
          <w:color w:val="auto"/>
        </w:rPr>
        <w:t>Interest Election Request</w:t>
      </w:r>
      <w:r>
        <w:rPr>
          <w:rFonts w:ascii="Arial" w:cs="Arial" w:eastAsia="Arial" w:hAnsi="Arial"/>
          <w:sz w:val="22"/>
          <w:szCs w:val="22"/>
          <w:color w:val="auto"/>
        </w:rPr>
        <w:t xml:space="preserve">”) in substantially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attached hereto and signed by the Borrower.</w:t>
      </w:r>
    </w:p>
    <w:p>
      <w:pPr>
        <w:spacing w:after="0" w:line="159" w:lineRule="exact"/>
        <w:rPr>
          <w:sz w:val="20"/>
          <w:szCs w:val="20"/>
          <w:color w:val="auto"/>
        </w:rPr>
      </w:pPr>
    </w:p>
    <w:p>
      <w:pPr>
        <w:ind w:left="1180" w:hanging="524"/>
        <w:spacing w:after="0"/>
        <w:tabs>
          <w:tab w:leader="none" w:pos="11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jc w:val="both"/>
        <w:ind w:firstLine="1304"/>
        <w:spacing w:after="0" w:line="218" w:lineRule="auto"/>
        <w:tabs>
          <w:tab w:leader="none" w:pos="173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0" w:lineRule="exact"/>
        <w:rPr>
          <w:rFonts w:ascii="Arial" w:cs="Arial" w:eastAsia="Arial" w:hAnsi="Arial"/>
          <w:sz w:val="22"/>
          <w:szCs w:val="22"/>
          <w:color w:val="auto"/>
        </w:rPr>
      </w:pPr>
    </w:p>
    <w:p>
      <w:pPr>
        <w:ind w:left="1820" w:hanging="516"/>
        <w:spacing w:after="0"/>
        <w:tabs>
          <w:tab w:leader="none" w:pos="182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 Business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Day;</w:t>
      </w:r>
    </w:p>
    <w:p>
      <w:pPr>
        <w:spacing w:after="0" w:line="161" w:lineRule="exact"/>
        <w:rPr>
          <w:rFonts w:ascii="Arial" w:cs="Arial" w:eastAsia="Arial" w:hAnsi="Arial"/>
          <w:sz w:val="19"/>
          <w:szCs w:val="19"/>
          <w:color w:val="auto"/>
        </w:rPr>
      </w:pPr>
    </w:p>
    <w:p>
      <w:pPr>
        <w:ind w:firstLine="1304"/>
        <w:spacing w:after="0" w:line="232" w:lineRule="auto"/>
        <w:tabs>
          <w:tab w:leader="none" w:pos="1923" w:val="left"/>
        </w:tabs>
        <w:numPr>
          <w:ilvl w:val="1"/>
          <w:numId w:val="54"/>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(in the case of Borrowings denominated in Dollars) or a Term Benchmark Borrowing; and</w:t>
      </w:r>
    </w:p>
    <w:p>
      <w:pPr>
        <w:spacing w:after="0" w:line="158" w:lineRule="exact"/>
        <w:rPr>
          <w:rFonts w:ascii="Arial" w:cs="Arial" w:eastAsia="Arial" w:hAnsi="Arial"/>
          <w:sz w:val="22"/>
          <w:szCs w:val="22"/>
          <w:color w:val="auto"/>
        </w:rPr>
      </w:pPr>
    </w:p>
    <w:p>
      <w:pPr>
        <w:ind w:firstLine="1304"/>
        <w:spacing w:after="0" w:line="298" w:lineRule="auto"/>
        <w:tabs>
          <w:tab w:leader="none" w:pos="1834"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the resulting Borrowing is a Term Benchmark Borrowing, the Interest Period to be applicable thereto after giving effect to such election, which shall be a period contemplated by the definition of the term “</w:t>
      </w:r>
      <w:r>
        <w:rPr>
          <w:rFonts w:ascii="Arial" w:cs="Arial" w:eastAsia="Arial" w:hAnsi="Arial"/>
          <w:sz w:val="19"/>
          <w:szCs w:val="19"/>
          <w:b w:val="1"/>
          <w:bCs w:val="1"/>
          <w:color w:val="auto"/>
        </w:rPr>
        <w:t>Interest Period</w:t>
      </w:r>
      <w:r>
        <w:rPr>
          <w:rFonts w:ascii="Arial" w:cs="Arial" w:eastAsia="Arial" w:hAnsi="Arial"/>
          <w:sz w:val="19"/>
          <w:szCs w:val="19"/>
          <w:color w:val="auto"/>
        </w:rPr>
        <w:t>”.</w:t>
      </w:r>
    </w:p>
    <w:p>
      <w:pPr>
        <w:spacing w:after="0" w:line="10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If any such Interest Election Request requests a Term Benchmark Borrowing but does not specify an Interest Period, then the Borrower shall be deemed to have selected an Interest Period of one month’s duration.</w:t>
      </w:r>
    </w:p>
    <w:p>
      <w:pPr>
        <w:spacing w:after="0" w:line="159" w:lineRule="exact"/>
        <w:rPr>
          <w:sz w:val="20"/>
          <w:szCs w:val="20"/>
          <w:color w:val="auto"/>
        </w:rPr>
      </w:pPr>
    </w:p>
    <w:p>
      <w:pPr>
        <w:jc w:val="both"/>
        <w:ind w:firstLine="656"/>
        <w:spacing w:after="0" w:line="216" w:lineRule="auto"/>
        <w:tabs>
          <w:tab w:leader="none" w:pos="1125"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 Except as otherwise provided herein, an Interest Election Request for conversion to, or continuation of, any Term Benchmark Borrowing shall be irrevocable on and after the related Interest Rate Determination Date, and the Borrower shall be bound to effect a conversion or continuation in accordance therewith.</w:t>
      </w:r>
    </w:p>
    <w:p>
      <w:pPr>
        <w:spacing w:after="0" w:line="157" w:lineRule="exact"/>
        <w:rPr>
          <w:rFonts w:ascii="Arial" w:cs="Arial" w:eastAsia="Arial" w:hAnsi="Arial"/>
          <w:sz w:val="22"/>
          <w:szCs w:val="22"/>
          <w:color w:val="auto"/>
        </w:rPr>
      </w:pPr>
    </w:p>
    <w:p>
      <w:pPr>
        <w:jc w:val="both"/>
        <w:ind w:firstLine="656"/>
        <w:spacing w:after="0" w:line="241" w:lineRule="auto"/>
        <w:tabs>
          <w:tab w:leader="none" w:pos="1203"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converted to an ABR Borrowing at the end of such Interest Period. If the Borrower fails to deliver a timely and complete Interest Election Request with respect to a Term Benchmark Borrowing in an Alternative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(x) each Term Benchmark Borrowing denominated in Dollars shall be converted to an ABR Borrowing at the end of the Interest Period applicable thereto and (y) each Term Benchmark Borrowing denominated in an Alternative Currency shall bear interest at the Central Bank Rate for the applicable Agreed Currency plus the Applicable Rate for Term Benchmark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Central Bank Rate for the applicable Agreed Currency cannot be determined, any outstanding affected Term Benchmark Loans denominated in any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395" w:right="339" w:bottom="1440" w:gutter="0" w:footer="0" w:header="0"/>
        </w:sectPr>
      </w:pPr>
    </w:p>
    <w:bookmarkStart w:id="138" w:name="page139"/>
    <w:bookmarkEnd w:id="138"/>
    <w:p>
      <w:pPr>
        <w:jc w:val="both"/>
        <w:spacing w:after="0" w:line="243" w:lineRule="auto"/>
        <w:rPr>
          <w:sz w:val="20"/>
          <w:szCs w:val="20"/>
          <w:color w:val="auto"/>
        </w:rPr>
      </w:pPr>
      <w:r>
        <w:rPr>
          <w:rFonts w:ascii="Arial" w:cs="Arial" w:eastAsia="Arial" w:hAnsi="Arial"/>
          <w:sz w:val="19"/>
          <w:szCs w:val="19"/>
          <w:color w:val="auto"/>
        </w:rPr>
        <w:t>Currency other than Dollars shall either be (A) converted to an ABR Borrowing denominated in Dollars (in an amount equal to the Dollar Equivalent of such Alternative Currency) at the end of the Interest Period, as applicable, therefor or (B) prepaid at the end of the applicable Interest Period, as applicable, in full; provided that if no election is made by the Borrower by the earlier of</w:t>
      </w:r>
    </w:p>
    <w:p>
      <w:pPr>
        <w:spacing w:after="0" w:line="2" w:lineRule="exact"/>
        <w:rPr>
          <w:sz w:val="20"/>
          <w:szCs w:val="20"/>
          <w:color w:val="auto"/>
        </w:rPr>
      </w:pPr>
    </w:p>
    <w:p>
      <w:pPr>
        <w:ind w:firstLine="8"/>
        <w:spacing w:after="0" w:line="278" w:lineRule="auto"/>
        <w:tabs>
          <w:tab w:leader="none" w:pos="323"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date that is three Business Days after receipt by the Borrower of such notice and (y) the last day of the current Interest Period for the applicable Term Benchmark Loan, the Borrower shall be deemed to have elected clause (A) above.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Termination and Reduction of Commitments</w:t>
      </w:r>
      <w:r>
        <w:rPr>
          <w:rFonts w:ascii="Arial" w:cs="Arial" w:eastAsia="Arial" w:hAnsi="Arial"/>
          <w:sz w:val="19"/>
          <w:szCs w:val="19"/>
          <w:color w:val="auto"/>
        </w:rPr>
        <w:t>.</w:t>
      </w:r>
    </w:p>
    <w:p>
      <w:pPr>
        <w:spacing w:after="0" w:line="179" w:lineRule="exact"/>
        <w:rPr>
          <w:sz w:val="20"/>
          <w:szCs w:val="20"/>
          <w:color w:val="auto"/>
        </w:rPr>
      </w:pPr>
    </w:p>
    <w:p>
      <w:pPr>
        <w:ind w:left="1120" w:hanging="464"/>
        <w:spacing w:after="0"/>
        <w:tabs>
          <w:tab w:leader="none" w:pos="11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Unless previously terminated, the Commitments shall terminate on the Maturity Date.</w:t>
      </w:r>
    </w:p>
    <w:p>
      <w:pPr>
        <w:spacing w:after="0" w:line="179" w:lineRule="exact"/>
        <w:rPr>
          <w:rFonts w:ascii="Arial" w:cs="Arial" w:eastAsia="Arial" w:hAnsi="Arial"/>
          <w:sz w:val="22"/>
          <w:szCs w:val="22"/>
          <w:color w:val="auto"/>
        </w:rPr>
      </w:pPr>
    </w:p>
    <w:p>
      <w:pPr>
        <w:jc w:val="both"/>
        <w:ind w:firstLine="656"/>
        <w:spacing w:after="0" w:line="247" w:lineRule="auto"/>
        <w:tabs>
          <w:tab w:leader="none" w:pos="1204"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The Borrower may at any time terminate, or from time to time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shall be in an amount that is an integral multiple of $1,000,000 and not less than $5,000,000 and</w:t>
      </w:r>
    </w:p>
    <w:p>
      <w:pPr>
        <w:jc w:val="both"/>
        <w:ind w:firstLine="8"/>
        <w:spacing w:after="0" w:line="217" w:lineRule="auto"/>
        <w:tabs>
          <w:tab w:leader="none" w:pos="3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Borrower shall not terminate or reduce the Commitments if, after giving effect to any concurrent prepayment of the Loans in accordance with </w:t>
      </w:r>
      <w:r>
        <w:rPr>
          <w:rFonts w:ascii="Arial" w:cs="Arial" w:eastAsia="Arial" w:hAnsi="Arial"/>
          <w:sz w:val="22"/>
          <w:szCs w:val="22"/>
          <w:u w:val="single" w:color="auto"/>
          <w:color w:val="auto"/>
        </w:rPr>
        <w:t>Section 2.08</w:t>
      </w:r>
      <w:r>
        <w:rPr>
          <w:rFonts w:ascii="Arial" w:cs="Arial" w:eastAsia="Arial" w:hAnsi="Arial"/>
          <w:sz w:val="22"/>
          <w:szCs w:val="22"/>
          <w:color w:val="auto"/>
        </w:rPr>
        <w:t>, the sum of the Dollar Equivalents of the Revolving Credit Exposures would exceed the total Commitments.</w:t>
      </w:r>
    </w:p>
    <w:p>
      <w:pPr>
        <w:spacing w:after="0" w:line="159" w:lineRule="exact"/>
        <w:rPr>
          <w:rFonts w:ascii="Arial" w:cs="Arial" w:eastAsia="Arial" w:hAnsi="Arial"/>
          <w:sz w:val="22"/>
          <w:szCs w:val="22"/>
          <w:color w:val="auto"/>
        </w:rPr>
      </w:pPr>
    </w:p>
    <w:p>
      <w:pPr>
        <w:jc w:val="both"/>
        <w:ind w:firstLine="656"/>
        <w:spacing w:after="0" w:line="244" w:lineRule="auto"/>
        <w:tabs>
          <w:tab w:leader="none" w:pos="1147"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Commitments delivered by the Borrower may state that such notice is conditioned upon the effectiveness of other credit facilities or another transaction,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32" w:lineRule="auto"/>
        <w:tabs>
          <w:tab w:leader="none" w:pos="1162"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Borrower hereby unconditionally promises to pay to the Administrative Agent for the account of each Lender the then unpaid principal amount of each Loan on the Maturity Date.</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24" w:val="left"/>
        </w:tabs>
        <w:numPr>
          <w:ilvl w:val="0"/>
          <w:numId w:val="59"/>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8" w:lineRule="exact"/>
        <w:rPr>
          <w:rFonts w:ascii="Arial" w:cs="Arial" w:eastAsia="Arial" w:hAnsi="Arial"/>
          <w:sz w:val="22"/>
          <w:szCs w:val="22"/>
          <w:color w:val="auto"/>
        </w:rPr>
      </w:pPr>
    </w:p>
    <w:p>
      <w:pPr>
        <w:jc w:val="both"/>
        <w:ind w:firstLine="656"/>
        <w:spacing w:after="0" w:line="257" w:lineRule="auto"/>
        <w:tabs>
          <w:tab w:leader="none" w:pos="1252"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Type thereof, the currency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44" w:lineRule="exact"/>
        <w:rPr>
          <w:rFonts w:ascii="Arial" w:cs="Arial" w:eastAsia="Arial" w:hAnsi="Arial"/>
          <w:sz w:val="19"/>
          <w:szCs w:val="19"/>
          <w:color w:val="auto"/>
        </w:rPr>
      </w:pPr>
    </w:p>
    <w:p>
      <w:pPr>
        <w:jc w:val="both"/>
        <w:ind w:firstLine="656"/>
        <w:spacing w:after="0" w:line="223" w:lineRule="auto"/>
        <w:tabs>
          <w:tab w:leader="none" w:pos="119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(b) or (c) of this Section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existence and amounts of the obligations recorded therein (absent manifest error);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01" w:right="339" w:bottom="1440" w:gutter="0" w:footer="0" w:header="0"/>
        </w:sectPr>
      </w:pPr>
    </w:p>
    <w:bookmarkStart w:id="139" w:name="page140"/>
    <w:bookmarkEnd w:id="139"/>
    <w:p>
      <w:pPr>
        <w:spacing w:after="0" w:line="232" w:lineRule="auto"/>
        <w:rPr>
          <w:sz w:val="20"/>
          <w:szCs w:val="20"/>
          <w:color w:val="auto"/>
        </w:rPr>
      </w:pPr>
      <w:r>
        <w:rPr>
          <w:rFonts w:ascii="Arial" w:cs="Arial" w:eastAsia="Arial" w:hAnsi="Arial"/>
          <w:sz w:val="22"/>
          <w:szCs w:val="22"/>
          <w:color w:val="auto"/>
        </w:rPr>
        <w:t>Administrative Agent to maintain such accounts or any error therein shall not in any manner affect the obligation of the Borrower to repay the Loans in accordance with the terms of this Agreement.</w:t>
      </w:r>
    </w:p>
    <w:p>
      <w:pPr>
        <w:spacing w:after="0" w:line="159" w:lineRule="exact"/>
        <w:rPr>
          <w:sz w:val="20"/>
          <w:szCs w:val="20"/>
          <w:color w:val="auto"/>
        </w:rPr>
      </w:pPr>
    </w:p>
    <w:p>
      <w:pPr>
        <w:jc w:val="both"/>
        <w:ind w:firstLine="656"/>
        <w:spacing w:after="0" w:line="222" w:lineRule="auto"/>
        <w:tabs>
          <w:tab w:leader="none" w:pos="1112"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Lender may request that Loans made by it be evidenced by a promissory note (each such promissory note being called a “</w:t>
      </w:r>
      <w:r>
        <w:rPr>
          <w:rFonts w:ascii="Arial" w:cs="Arial" w:eastAsia="Arial" w:hAnsi="Arial"/>
          <w:sz w:val="21"/>
          <w:szCs w:val="21"/>
          <w:b w:val="1"/>
          <w:bCs w:val="1"/>
          <w:color w:val="auto"/>
        </w:rPr>
        <w:t>Note</w:t>
      </w:r>
      <w:r>
        <w:rPr>
          <w:rFonts w:ascii="Arial" w:cs="Arial" w:eastAsia="Arial" w:hAnsi="Arial"/>
          <w:sz w:val="21"/>
          <w:szCs w:val="21"/>
          <w:color w:val="auto"/>
        </w:rPr>
        <w:t>” and all such promissory notes being collectively called the “</w:t>
      </w:r>
      <w:r>
        <w:rPr>
          <w:rFonts w:ascii="Arial" w:cs="Arial" w:eastAsia="Arial" w:hAnsi="Arial"/>
          <w:sz w:val="21"/>
          <w:szCs w:val="21"/>
          <w:b w:val="1"/>
          <w:bCs w:val="1"/>
          <w:color w:val="auto"/>
        </w:rPr>
        <w:t>Notes</w:t>
      </w:r>
      <w:r>
        <w:rPr>
          <w:rFonts w:ascii="Arial" w:cs="Arial" w:eastAsia="Arial" w:hAnsi="Arial"/>
          <w:sz w:val="21"/>
          <w:szCs w:val="21"/>
          <w:color w:val="auto"/>
        </w:rPr>
        <w:t xml:space="preserve">”). In such event, the Borrower shall prepare, execute and deliver to such Lender a Note payable to such Lender (or, if requested by such Lender, to such Lender and its registered assigns) in substantially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attached hereto. Thereafter, the Loans evidenced by such Note and interest thereon shall at all times (including after assignment pursuant to </w:t>
      </w:r>
      <w:r>
        <w:rPr>
          <w:rFonts w:ascii="Arial" w:cs="Arial" w:eastAsia="Arial" w:hAnsi="Arial"/>
          <w:sz w:val="21"/>
          <w:szCs w:val="21"/>
          <w:u w:val="single" w:color="auto"/>
          <w:color w:val="auto"/>
        </w:rPr>
        <w:t>Section 10.04</w:t>
      </w:r>
      <w:r>
        <w:rPr>
          <w:rFonts w:ascii="Arial" w:cs="Arial" w:eastAsia="Arial" w:hAnsi="Arial"/>
          <w:sz w:val="21"/>
          <w:szCs w:val="21"/>
          <w:color w:val="auto"/>
        </w:rPr>
        <w:t>) be represented by one or more promissory notes in such form payable to the payee named therein (or, if such promissory note is a registered note, to such payee and its registered assigns).</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u w:val="single" w:color="auto"/>
          <w:color w:val="auto"/>
        </w:rPr>
        <w:t>Prepayment of Loans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1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The Borrower shall have the right at any time and from time to time to prepay any Borrowing in whole or in part, without premium or penalty (subject to the requirements of </w:t>
      </w:r>
      <w:r>
        <w:rPr>
          <w:rFonts w:ascii="Arial" w:cs="Arial" w:eastAsia="Arial" w:hAnsi="Arial"/>
          <w:sz w:val="22"/>
          <w:szCs w:val="22"/>
          <w:u w:val="single" w:color="auto"/>
          <w:color w:val="auto"/>
        </w:rPr>
        <w:t>Section 2.13</w:t>
      </w:r>
      <w:r>
        <w:rPr>
          <w:rFonts w:ascii="Arial" w:cs="Arial" w:eastAsia="Arial" w:hAnsi="Arial"/>
          <w:sz w:val="22"/>
          <w:szCs w:val="22"/>
          <w:color w:val="auto"/>
        </w:rPr>
        <w:t>), subject to prior notice in accordance with paragraph (b) of this Section.</w:t>
      </w:r>
    </w:p>
    <w:p>
      <w:pPr>
        <w:spacing w:after="0" w:line="158" w:lineRule="exact"/>
        <w:rPr>
          <w:rFonts w:ascii="Arial" w:cs="Arial" w:eastAsia="Arial" w:hAnsi="Arial"/>
          <w:sz w:val="22"/>
          <w:szCs w:val="22"/>
          <w:color w:val="auto"/>
        </w:rPr>
      </w:pPr>
    </w:p>
    <w:p>
      <w:pPr>
        <w:jc w:val="both"/>
        <w:ind w:firstLine="656"/>
        <w:spacing w:after="0" w:line="241" w:lineRule="auto"/>
        <w:tabs>
          <w:tab w:leader="none" w:pos="1224"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Borrower shall notify the Administrative Agent by telephone (confirmed by telecopy or delivery of written notice) or telecopy of any prepayment hereunder (i)(x) in the case of prepayment of a Term Benchmark Borrowing denominated in Dollars, not later than 1</w:t>
      </w:r>
      <w:r>
        <w:rPr>
          <w:rFonts w:ascii="Arial" w:cs="Arial" w:eastAsia="Arial" w:hAnsi="Arial"/>
          <w:sz w:val="19"/>
          <w:szCs w:val="19"/>
          <w:color w:val="FF0000"/>
          <w:strike w:val="1"/>
        </w:rPr>
        <w:t>2</w:t>
      </w:r>
      <w:r>
        <w:rPr>
          <w:rFonts w:ascii="Arial" w:cs="Arial" w:eastAsia="Arial" w:hAnsi="Arial"/>
          <w:sz w:val="19"/>
          <w:szCs w:val="19"/>
          <w:u w:val="single" w:color="auto"/>
          <w:color w:val="0000FF"/>
        </w:rPr>
        <w:t>1</w:t>
      </w:r>
      <w:r>
        <w:rPr>
          <w:rFonts w:ascii="Arial" w:cs="Arial" w:eastAsia="Arial" w:hAnsi="Arial"/>
          <w:sz w:val="19"/>
          <w:szCs w:val="19"/>
          <w:color w:val="auto"/>
        </w:rPr>
        <w:t xml:space="preserve">:00 </w:t>
      </w:r>
      <w:r>
        <w:rPr>
          <w:rFonts w:ascii="Arial" w:cs="Arial" w:eastAsia="Arial" w:hAnsi="Arial"/>
          <w:sz w:val="19"/>
          <w:szCs w:val="19"/>
          <w:color w:val="FF0000"/>
          <w:strike w:val="1"/>
        </w:rPr>
        <w:t>noon</w:t>
      </w:r>
      <w:r>
        <w:rPr>
          <w:rFonts w:ascii="Arial" w:cs="Arial" w:eastAsia="Arial" w:hAnsi="Arial"/>
          <w:sz w:val="19"/>
          <w:szCs w:val="19"/>
          <w:u w:val="single" w:color="auto"/>
          <w:color w:val="0000FF"/>
        </w:rPr>
        <w:t>a.m.</w:t>
      </w:r>
      <w:r>
        <w:rPr>
          <w:rFonts w:ascii="Arial" w:cs="Arial" w:eastAsia="Arial" w:hAnsi="Arial"/>
          <w:sz w:val="19"/>
          <w:szCs w:val="19"/>
          <w:color w:val="auto"/>
        </w:rPr>
        <w:t xml:space="preserve">, New York City time, three Business Days before the date of prepayment, (y) in the case of prepayment of a Term Benchmark Borrowing denominated in Euros, not later than 12:00 noon, New York City time, three Business Days before the date of prepayment and (z) in the case of prepayment of an RFR Borrowing denominated in Sterling, not later than 11:00 a.m., New York City time five Business Days before the date of prepayment or (ii) in the case of prepayment of an ABR Borrowing, not later than 12:00 noon, New York City time, one Business Day before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as contemplated by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Each prepayment of a Borrowing shall be applied ratably to the Loans of the Lenders in accordance with their respective Applicable Percentages. Prepayments shall be accompanied by accrued interest to the extent required by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any costs incurred as contemplated by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ind w:firstLine="656"/>
        <w:spacing w:after="0" w:line="247" w:lineRule="auto"/>
        <w:tabs>
          <w:tab w:leader="none" w:pos="1142"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Borrower shall from time to time prepay the Loans to the extent necessary so that the Dollar Equivalent of the aggregate principal amount of all outstanding Loans shall not at any time exceed the Commitments then in effect.</w:t>
      </w:r>
    </w:p>
    <w:p>
      <w:pPr>
        <w:spacing w:after="0" w:line="150" w:lineRule="exact"/>
        <w:rPr>
          <w:rFonts w:ascii="Arial" w:cs="Arial" w:eastAsia="Arial" w:hAnsi="Arial"/>
          <w:sz w:val="21"/>
          <w:szCs w:val="21"/>
          <w:color w:val="auto"/>
        </w:rPr>
      </w:pPr>
    </w:p>
    <w:p>
      <w:pPr>
        <w:jc w:val="both"/>
        <w:ind w:firstLine="656"/>
        <w:spacing w:after="0" w:line="249" w:lineRule="auto"/>
        <w:tabs>
          <w:tab w:leader="none" w:pos="12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at any time, (i) other than as a result of fluctuations in currency exchange rates, the Dollar Equivalent of the Lenders’ aggregate Revolving Credit Exposures (calculated, with respect to any Loans or LC Exposure denominated in an Alternative Currency, as of the most recent Revaluation Date with respect to such Loan or LC Exposure) exceeds the aggregate Commitments then in effect, or (ii) solely as a result of fluctuations in currency exchange rates, the Dollar Equivalent of the Lenders’ aggregate Revolving Credit Exposures (so calculated), as of the most recent Revaluation Date, exceeds one hundred ten percent (110%) of the aggregate Commitments then in effect, the Borrower shall immediately repay Borrowings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01" w:right="339" w:bottom="1440" w:gutter="0" w:footer="0" w:header="0"/>
        </w:sectPr>
      </w:pPr>
    </w:p>
    <w:bookmarkStart w:id="140" w:name="page141"/>
    <w:bookmarkEnd w:id="140"/>
    <w:p>
      <w:pPr>
        <w:jc w:val="both"/>
        <w:spacing w:after="0" w:line="223" w:lineRule="auto"/>
        <w:rPr>
          <w:sz w:val="20"/>
          <w:szCs w:val="20"/>
          <w:color w:val="auto"/>
        </w:rPr>
      </w:pPr>
      <w:r>
        <w:rPr>
          <w:rFonts w:ascii="Arial" w:cs="Arial" w:eastAsia="Arial" w:hAnsi="Arial"/>
          <w:sz w:val="22"/>
          <w:szCs w:val="22"/>
          <w:color w:val="auto"/>
        </w:rPr>
        <w:t xml:space="preserve">collateralize LC Exposure in accordance with the procedures set forth in </w:t>
      </w:r>
      <w:r>
        <w:rPr>
          <w:rFonts w:ascii="Arial" w:cs="Arial" w:eastAsia="Arial" w:hAnsi="Arial"/>
          <w:sz w:val="22"/>
          <w:szCs w:val="22"/>
          <w:u w:val="single" w:color="auto"/>
          <w:color w:val="auto"/>
        </w:rPr>
        <w:t>Section 2.17(d)</w:t>
      </w:r>
      <w:r>
        <w:rPr>
          <w:rFonts w:ascii="Arial" w:cs="Arial" w:eastAsia="Arial" w:hAnsi="Arial"/>
          <w:sz w:val="22"/>
          <w:szCs w:val="22"/>
          <w:color w:val="auto"/>
        </w:rPr>
        <w:t xml:space="preserve"> in an aggregate principal amount sufficient to cause the Dollar Equivalent of the Lenders’ aggregate Revolving Credit Exposures (so calculated) to be less than or equal to the aggregate Commitments then in effect.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7"/>
          <w:szCs w:val="17"/>
          <w:u w:val="single" w:color="auto"/>
          <w:color w:val="auto"/>
        </w:rPr>
        <w:t>Fees</w:t>
      </w:r>
      <w:r>
        <w:rPr>
          <w:rFonts w:ascii="Arial" w:cs="Arial" w:eastAsia="Arial" w:hAnsi="Arial"/>
          <w:sz w:val="17"/>
          <w:szCs w:val="17"/>
          <w:color w:val="auto"/>
        </w:rPr>
        <w:t>.</w:t>
      </w:r>
    </w:p>
    <w:p>
      <w:pPr>
        <w:spacing w:after="0" w:line="179" w:lineRule="exact"/>
        <w:rPr>
          <w:sz w:val="20"/>
          <w:szCs w:val="20"/>
          <w:color w:val="auto"/>
        </w:rPr>
      </w:pPr>
    </w:p>
    <w:p>
      <w:pPr>
        <w:jc w:val="both"/>
        <w:ind w:firstLine="656"/>
        <w:spacing w:after="0" w:line="221" w:lineRule="auto"/>
        <w:tabs>
          <w:tab w:leader="none" w:pos="1146"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the account of each Lender (other than any Defaulting Lender) a commitment fee (the “</w:t>
      </w:r>
      <w:r>
        <w:rPr>
          <w:rFonts w:ascii="Arial" w:cs="Arial" w:eastAsia="Arial" w:hAnsi="Arial"/>
          <w:sz w:val="21"/>
          <w:szCs w:val="21"/>
          <w:b w:val="1"/>
          <w:bCs w:val="1"/>
          <w:color w:val="auto"/>
        </w:rPr>
        <w:t>Commitment Fee</w:t>
      </w:r>
      <w:r>
        <w:rPr>
          <w:rFonts w:ascii="Arial" w:cs="Arial" w:eastAsia="Arial" w:hAnsi="Arial"/>
          <w:sz w:val="21"/>
          <w:szCs w:val="21"/>
          <w:color w:val="auto"/>
        </w:rPr>
        <w:t xml:space="preserve">”), which shall accrue at the relevant percentage set forth in the row entitled “Commitment Fee” in the definition of “Applicable Rate” on the average daily amount of the unused Commitment of such Lender during the period from and including the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Effective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58" w:lineRule="exact"/>
        <w:rPr>
          <w:rFonts w:ascii="Arial" w:cs="Arial" w:eastAsia="Arial" w:hAnsi="Arial"/>
          <w:sz w:val="21"/>
          <w:szCs w:val="21"/>
          <w:color w:val="auto"/>
        </w:rPr>
      </w:pPr>
    </w:p>
    <w:p>
      <w:pPr>
        <w:jc w:val="both"/>
        <w:ind w:firstLine="656"/>
        <w:spacing w:after="0" w:line="241" w:lineRule="auto"/>
        <w:tabs>
          <w:tab w:leader="none" w:pos="1159"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Lender a participation fee with respect to its participations in Letters of Credit, which shall accrue at 2.75%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on the Dollar Equivalent of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a fronting fee, which shall accrue at the rate or rates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separately agreed upon between the Borrower and such Issuing Bank (but not to exceed 0.20%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on the Dollar Equivalent of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such Issuing Bank’s standard fees with respect to the issuance, amendment, renewal or extension of any Letter of Credit or processing of drawings thereunder. Accrued participation fees and fronting fees shall be payable on the last day of March, June, September and December of each year,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377" w:lineRule="exact"/>
        <w:rPr>
          <w:rFonts w:ascii="Arial" w:cs="Arial" w:eastAsia="Arial" w:hAnsi="Arial"/>
          <w:sz w:val="19"/>
          <w:szCs w:val="19"/>
          <w:color w:val="auto"/>
        </w:rPr>
      </w:pPr>
    </w:p>
    <w:p>
      <w:pPr>
        <w:ind w:firstLine="656"/>
        <w:spacing w:after="0" w:line="247" w:lineRule="auto"/>
        <w:tabs>
          <w:tab w:leader="none" w:pos="112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its own account, fees payable in the amounts and at the times separately agreed upon between the Borrower and the Administrative Agent in the Fee Letter.</w:t>
      </w:r>
    </w:p>
    <w:p>
      <w:pPr>
        <w:spacing w:after="0" w:line="150" w:lineRule="exact"/>
        <w:rPr>
          <w:rFonts w:ascii="Arial" w:cs="Arial" w:eastAsia="Arial" w:hAnsi="Arial"/>
          <w:sz w:val="21"/>
          <w:szCs w:val="21"/>
          <w:color w:val="auto"/>
        </w:rPr>
      </w:pPr>
    </w:p>
    <w:p>
      <w:pPr>
        <w:jc w:val="both"/>
        <w:ind w:firstLine="656"/>
        <w:spacing w:after="0" w:line="234" w:lineRule="auto"/>
        <w:tabs>
          <w:tab w:leader="none" w:pos="1209" w:val="left"/>
        </w:tabs>
        <w:numPr>
          <w:ilvl w:val="0"/>
          <w:numId w:val="62"/>
        </w:numPr>
        <w:rPr>
          <w:rFonts w:ascii="Arial" w:cs="Arial" w:eastAsia="Arial" w:hAnsi="Arial"/>
          <w:sz w:val="21"/>
          <w:szCs w:val="21"/>
          <w:color w:val="auto"/>
        </w:rPr>
      </w:pPr>
      <w:r>
        <w:rPr>
          <w:rFonts w:ascii="Arial" w:cs="Arial" w:eastAsia="Arial" w:hAnsi="Arial"/>
          <w:sz w:val="21"/>
          <w:szCs w:val="21"/>
          <w:color w:val="auto"/>
        </w:rPr>
        <w:t>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01" w:right="339" w:bottom="1440" w:gutter="0" w:footer="0" w:header="0"/>
        </w:sectPr>
      </w:pPr>
    </w:p>
    <w:bookmarkStart w:id="141" w:name="page142"/>
    <w:bookmarkEnd w:id="141"/>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179" w:lineRule="exact"/>
        <w:rPr>
          <w:sz w:val="20"/>
          <w:szCs w:val="20"/>
          <w:color w:val="auto"/>
        </w:rPr>
      </w:pPr>
    </w:p>
    <w:p>
      <w:pPr>
        <w:ind w:left="1120" w:hanging="464"/>
        <w:spacing w:after="0"/>
        <w:tabs>
          <w:tab w:leader="none" w:pos="11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Loans comprising each ABR Borrowing shall bear interest at the Alternate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Rate.</w:t>
      </w:r>
    </w:p>
    <w:p>
      <w:pPr>
        <w:spacing w:after="0" w:line="213" w:lineRule="exact"/>
        <w:rPr>
          <w:rFonts w:ascii="Arial" w:cs="Arial" w:eastAsia="Arial" w:hAnsi="Arial"/>
          <w:sz w:val="19"/>
          <w:szCs w:val="19"/>
          <w:color w:val="auto"/>
        </w:rPr>
      </w:pPr>
    </w:p>
    <w:p>
      <w:pPr>
        <w:jc w:val="both"/>
        <w:ind w:firstLine="656"/>
        <w:spacing w:after="0" w:line="223" w:lineRule="auto"/>
        <w:tabs>
          <w:tab w:leader="none" w:pos="1146"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The Loans comprising each Term Benchmark Borrowing shall bear interest at the Adjusted </w:t>
      </w:r>
      <w:r>
        <w:rPr>
          <w:rFonts w:ascii="Arial" w:cs="Arial" w:eastAsia="Arial" w:hAnsi="Arial"/>
          <w:sz w:val="22"/>
          <w:szCs w:val="22"/>
          <w:color w:val="FF0000"/>
          <w:strike w:val="1"/>
        </w:rPr>
        <w:t>LIBO</w:t>
      </w:r>
      <w:r>
        <w:rPr>
          <w:rFonts w:ascii="Arial" w:cs="Arial" w:eastAsia="Arial" w:hAnsi="Arial"/>
          <w:sz w:val="22"/>
          <w:szCs w:val="22"/>
          <w:u w:val="single" w:color="auto"/>
          <w:color w:val="0000FF"/>
        </w:rPr>
        <w:t>Term SOFR</w:t>
      </w:r>
      <w:r>
        <w:rPr>
          <w:rFonts w:ascii="Arial" w:cs="Arial" w:eastAsia="Arial" w:hAnsi="Arial"/>
          <w:sz w:val="22"/>
          <w:szCs w:val="22"/>
          <w:color w:val="auto"/>
        </w:rPr>
        <w:t xml:space="preserve"> Rate, the Adjusted EURIBOR Rate, or the AUD Rate, as applicable, for the Interest Period in effect for such Borrowing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Applicable Rate.</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RFR Loan shall bear interest at a rate per annum equal to the applicable Daily Simple RFR plus the Applicable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Rate.</w:t>
      </w:r>
    </w:p>
    <w:p>
      <w:pPr>
        <w:spacing w:after="0" w:line="161" w:lineRule="exact"/>
        <w:rPr>
          <w:rFonts w:ascii="Arial" w:cs="Arial" w:eastAsia="Arial" w:hAnsi="Arial"/>
          <w:sz w:val="19"/>
          <w:szCs w:val="19"/>
          <w:color w:val="auto"/>
        </w:rPr>
      </w:pPr>
    </w:p>
    <w:p>
      <w:pPr>
        <w:jc w:val="both"/>
        <w:ind w:firstLine="656"/>
        <w:spacing w:after="0" w:line="226" w:lineRule="auto"/>
        <w:tabs>
          <w:tab w:leader="none" w:pos="1163"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Notwithstanding the foregoing, at all times when an Event of Default listed in paragraph (a) or (b) of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has occurred hereunder and is continuing, all overdue amounts outstanding hereunder shall bear interest, after as well as before judgment, at a rate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equal to (i) in the case of overdue principal of any Loan, 2%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rate otherwise applicable to such Loan as provided in the preceding paragraphs of this Section or (ii) in the case of any other overdue amount, 2% plus the rate applicable to ABR Loans as provided in paragraph (a) of this Section.</w:t>
      </w:r>
    </w:p>
    <w:p>
      <w:pPr>
        <w:spacing w:after="0" w:line="159" w:lineRule="exact"/>
        <w:rPr>
          <w:rFonts w:ascii="Arial" w:cs="Arial" w:eastAsia="Arial" w:hAnsi="Arial"/>
          <w:sz w:val="21"/>
          <w:szCs w:val="21"/>
          <w:color w:val="auto"/>
        </w:rPr>
      </w:pPr>
    </w:p>
    <w:p>
      <w:pPr>
        <w:jc w:val="both"/>
        <w:ind w:firstLine="656"/>
        <w:spacing w:after="0" w:line="249" w:lineRule="auto"/>
        <w:tabs>
          <w:tab w:leader="none" w:pos="117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upon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(d)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51" w:lineRule="exact"/>
        <w:rPr>
          <w:rFonts w:ascii="Arial" w:cs="Arial" w:eastAsia="Arial" w:hAnsi="Arial"/>
          <w:sz w:val="19"/>
          <w:szCs w:val="19"/>
          <w:color w:val="auto"/>
        </w:rPr>
      </w:pPr>
    </w:p>
    <w:p>
      <w:pPr>
        <w:jc w:val="both"/>
        <w:ind w:firstLine="656"/>
        <w:spacing w:after="0" w:line="244" w:lineRule="auto"/>
        <w:tabs>
          <w:tab w:leader="none" w:pos="1091"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Interest computed by reference to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or the EURIBOR Rate hereunder shall be computed on the basis of a year of 360 days. Interest computed by reference to the Daily Simple RFR with respect to Sterling or the Alternate Base Rate at times when the Alternate Base Rate is based on the Prime Rate shall be computed on the basis of a year of 365 days (or 366 days in a leap year). Interest computed by reference to the AUD Rate shall be computed on the basis of a year of 365 days.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Rate, Adjusted EURIBOR Rate, EURIBOR Rate, AUD Rate, or Daily Simple RFR shall be determined by the</w:t>
      </w:r>
      <w:r>
        <w:rPr>
          <w:rFonts w:ascii="Arial" w:cs="Arial" w:eastAsia="Arial" w:hAnsi="Arial"/>
          <w:sz w:val="19"/>
          <w:szCs w:val="19"/>
          <w:color w:val="0000FF"/>
        </w:rPr>
        <w:t xml:space="preserve"> </w:t>
      </w:r>
      <w:r>
        <w:rPr>
          <w:rFonts w:ascii="Arial" w:cs="Arial" w:eastAsia="Arial" w:hAnsi="Arial"/>
          <w:sz w:val="19"/>
          <w:szCs w:val="19"/>
          <w:color w:val="000000"/>
        </w:rPr>
        <w:t>Administrative Agent, and such determination shall be conclusive absent manifest error.</w:t>
      </w:r>
    </w:p>
    <w:p>
      <w:pPr>
        <w:spacing w:after="0" w:line="16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(a) Subject to clauses</w:t>
      </w:r>
      <w:r>
        <w:rPr>
          <w:rFonts w:ascii="Arial" w:cs="Arial" w:eastAsia="Arial" w:hAnsi="Arial"/>
          <w:sz w:val="19"/>
          <w:szCs w:val="19"/>
          <w:u w:val="single" w:color="auto"/>
          <w:color w:val="auto"/>
        </w:rPr>
        <w:t xml:space="preserve"> (b</w:t>
      </w:r>
      <w:r>
        <w:rPr>
          <w:rFonts w:ascii="Arial" w:cs="Arial" w:eastAsia="Arial" w:hAnsi="Arial"/>
          <w:sz w:val="19"/>
          <w:szCs w:val="19"/>
          <w:u w:val="single" w:color="auto"/>
          <w:color w:val="FF0000"/>
        </w:rPr>
        <w:t>)</w:t>
      </w:r>
      <w:r>
        <w:rPr>
          <w:rFonts w:ascii="Arial" w:cs="Arial" w:eastAsia="Arial" w:hAnsi="Arial"/>
          <w:sz w:val="19"/>
          <w:szCs w:val="19"/>
          <w:color w:val="FF0000"/>
        </w:rPr>
        <w:t>,</w:t>
      </w:r>
      <w:r>
        <w:rPr>
          <w:rFonts w:ascii="Arial" w:cs="Arial" w:eastAsia="Arial" w:hAnsi="Arial"/>
          <w:sz w:val="19"/>
          <w:szCs w:val="19"/>
          <w:u w:val="single" w:color="auto"/>
          <w:color w:val="auto"/>
        </w:rPr>
        <w:t xml:space="preserve"> </w:t>
      </w:r>
      <w:r>
        <w:rPr>
          <w:rFonts w:ascii="Arial" w:cs="Arial" w:eastAsia="Arial" w:hAnsi="Arial"/>
          <w:sz w:val="19"/>
          <w:szCs w:val="19"/>
          <w:u w:val="single" w:color="auto"/>
          <w:color w:val="FF0000"/>
        </w:rPr>
        <w:t>(c</w:t>
      </w:r>
      <w:r>
        <w:rPr>
          <w:rFonts w:ascii="Arial" w:cs="Arial" w:eastAsia="Arial" w:hAnsi="Arial"/>
          <w:sz w:val="19"/>
          <w:szCs w:val="19"/>
          <w:u w:val="single" w:color="auto"/>
          <w:color w:val="auto"/>
        </w:rPr>
        <w:t>)</w:t>
      </w:r>
      <w:r>
        <w:rPr>
          <w:rFonts w:ascii="Arial" w:cs="Arial" w:eastAsia="Arial" w:hAnsi="Arial"/>
          <w:sz w:val="19"/>
          <w:szCs w:val="19"/>
          <w:color w:val="auto"/>
        </w:rPr>
        <w:t>,</w:t>
      </w:r>
      <w:r>
        <w:rPr>
          <w:rFonts w:ascii="Arial" w:cs="Arial" w:eastAsia="Arial" w:hAnsi="Arial"/>
          <w:sz w:val="19"/>
          <w:szCs w:val="19"/>
          <w:u w:val="single" w:color="auto"/>
          <w:color w:val="auto"/>
        </w:rPr>
        <w:t xml:space="preserve"> (d)</w:t>
      </w:r>
      <w:r>
        <w:rPr>
          <w:rFonts w:ascii="Arial" w:cs="Arial" w:eastAsia="Arial" w:hAnsi="Arial"/>
          <w:sz w:val="19"/>
          <w:szCs w:val="19"/>
          <w:color w:val="auto"/>
        </w:rPr>
        <w:t>,</w:t>
      </w:r>
      <w:r>
        <w:rPr>
          <w:rFonts w:ascii="Arial" w:cs="Arial" w:eastAsia="Arial" w:hAnsi="Arial"/>
          <w:sz w:val="19"/>
          <w:szCs w:val="19"/>
          <w:u w:val="single" w:color="auto"/>
          <w:color w:val="auto"/>
        </w:rPr>
        <w:t xml:space="preserve"> (e)</w:t>
      </w:r>
      <w:r>
        <w:rPr>
          <w:rFonts w:ascii="Arial" w:cs="Arial" w:eastAsia="Arial" w:hAnsi="Arial"/>
          <w:sz w:val="19"/>
          <w:szCs w:val="19"/>
          <w:color w:val="auto"/>
        </w:rPr>
        <w:t>,</w:t>
      </w:r>
      <w:r>
        <w:rPr>
          <w:rFonts w:ascii="Arial" w:cs="Arial" w:eastAsia="Arial" w:hAnsi="Arial"/>
          <w:sz w:val="19"/>
          <w:szCs w:val="19"/>
          <w:u w:val="single" w:color="auto"/>
          <w:color w:val="auto"/>
        </w:rPr>
        <w:t xml:space="preserve"> (f)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(g) </w:t>
      </w:r>
      <w:r>
        <w:rPr>
          <w:rFonts w:ascii="Arial" w:cs="Arial" w:eastAsia="Arial" w:hAnsi="Arial"/>
          <w:sz w:val="19"/>
          <w:szCs w:val="19"/>
          <w:color w:val="auto"/>
        </w:rPr>
        <w:t>of this</w:t>
      </w:r>
      <w:r>
        <w:rPr>
          <w:rFonts w:ascii="Arial" w:cs="Arial" w:eastAsia="Arial" w:hAnsi="Arial"/>
          <w:sz w:val="19"/>
          <w:szCs w:val="19"/>
          <w:u w:val="single" w:color="auto"/>
          <w:color w:val="auto"/>
        </w:rPr>
        <w:t xml:space="preserve"> Section 2.11</w:t>
      </w:r>
      <w:r>
        <w:rPr>
          <w:rFonts w:ascii="Arial" w:cs="Arial" w:eastAsia="Arial" w:hAnsi="Arial"/>
          <w:sz w:val="19"/>
          <w:szCs w:val="19"/>
          <w:color w:val="auto"/>
        </w:rPr>
        <w: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-69215</wp:posOffset>
            </wp:positionV>
            <wp:extent cx="220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159" w:lineRule="exact"/>
        <w:rPr>
          <w:sz w:val="20"/>
          <w:szCs w:val="20"/>
          <w:color w:val="auto"/>
        </w:rPr>
      </w:pPr>
    </w:p>
    <w:p>
      <w:pPr>
        <w:jc w:val="both"/>
        <w:ind w:firstLine="1304"/>
        <w:spacing w:after="0" w:line="249" w:lineRule="auto"/>
        <w:tabs>
          <w:tab w:leader="none" w:pos="1825"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(A) prior to the commencement of any Interest Period for a Term Benchmark Borrowing, that adequate and reasonable means do not exist for ascertaining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the Adjusted EURIBOR Rate, the EURIBOR Rate or the AUD Rate, as applicable (including because the Relevant Screen Rate is not available or published on a current basis), for the applicable Agreed Currency and such Interest Period or (B) at any time, that adequate and reasonable means do not exist for ascertaining the applicable Daily Simple RFR or RFR for the applicable Agreed Currency;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01" w:right="339" w:bottom="1440" w:gutter="0" w:footer="0" w:header="0"/>
        </w:sectPr>
      </w:pPr>
    </w:p>
    <w:bookmarkStart w:id="142" w:name="page143"/>
    <w:bookmarkEnd w:id="142"/>
    <w:p>
      <w:pPr>
        <w:jc w:val="both"/>
        <w:ind w:firstLine="1304"/>
        <w:spacing w:after="0" w:line="247" w:lineRule="auto"/>
        <w:tabs>
          <w:tab w:leader="none" w:pos="18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Administrative Agent is advised by the Required Lenders that (A) prior to the commencement of any Interest Period for a Term Benchmark Borrowing,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the Adjusted EURIBOR Rate, the EURIBOR Rate or the AUD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or RFR for the applicable Agreed Currency will not adequately and fairly reflect the cost to such Lenders (or Lender) of making or maintaining their Loans (or its Loan) included in such Borrowing for the applicable Agreed Currency;</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Borrowing to, or continuation of any Borrowing as, a Term Benchmark Borrowing shall be ineffective, (B) if any Borrowing Request requests a Term Benchmark Borrowing in Dollars, such Borrowing shall be made as an ABR Borrowing and (C) if any Borrowing Request requests a Term Benchmark Borrowing or an RFR Borrowing for the relevant rate above in an Alternative Currency, then such request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w:t>
      </w:r>
      <w:r>
        <w:rPr>
          <w:rFonts w:ascii="Arial" w:cs="Arial" w:eastAsia="Arial" w:hAnsi="Arial"/>
          <w:sz w:val="19"/>
          <w:szCs w:val="19"/>
          <w:u w:val="single" w:color="auto"/>
          <w:color w:val="FF0000"/>
          <w:strike w:val="1"/>
        </w:rPr>
        <w:t>Section 2.11(i)</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Section 2.11(a)(i)</w:t>
      </w:r>
      <w:r>
        <w:rPr>
          <w:rFonts w:ascii="Arial" w:cs="Arial" w:eastAsia="Arial" w:hAnsi="Arial"/>
          <w:sz w:val="19"/>
          <w:szCs w:val="19"/>
          <w:color w:val="auto"/>
        </w:rPr>
        <w:t xml:space="preserve"> with respect to a Relevant Rate applicable to such Term Benchmark Loan or RFR Loan, then until the Administrative Agent notifies the Borrower and the Lenders that the circumstances giving rise to such notice no longer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for RFR Loans;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other than Dollars, at the Borrower’s election, shall either (A) be converted into ABR Loans denominated in Dollars (in an amount equal to the Dollar Equivalent of such Alternative Currency) immediately or (B) be prepaid in full immediately.</w:t>
      </w:r>
    </w:p>
    <w:p>
      <w:pPr>
        <w:spacing w:after="0" w:line="200" w:lineRule="exact"/>
        <w:rPr>
          <w:sz w:val="20"/>
          <w:szCs w:val="20"/>
          <w:color w:val="auto"/>
        </w:rPr>
      </w:pPr>
    </w:p>
    <w:p>
      <w:pPr>
        <w:spacing w:after="0" w:line="378" w:lineRule="exact"/>
        <w:rPr>
          <w:sz w:val="20"/>
          <w:szCs w:val="20"/>
          <w:color w:val="auto"/>
        </w:rPr>
      </w:pPr>
    </w:p>
    <w:p>
      <w:pPr>
        <w:jc w:val="both"/>
        <w:ind w:firstLine="656"/>
        <w:spacing w:after="0" w:line="223" w:lineRule="auto"/>
        <w:tabs>
          <w:tab w:leader="none" w:pos="11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or in any other Loan Document (and any Swap Agreement shall be deemed not to be a “Loan Document” for purposes of this </w:t>
      </w:r>
      <w:r>
        <w:rPr>
          <w:rFonts w:ascii="Arial" w:cs="Arial" w:eastAsia="Arial" w:hAnsi="Arial"/>
          <w:sz w:val="22"/>
          <w:szCs w:val="22"/>
          <w:u w:val="single" w:color="auto"/>
          <w:color w:val="auto"/>
        </w:rPr>
        <w:t>Section 2.11(b)</w:t>
      </w:r>
      <w:r>
        <w:rPr>
          <w:rFonts w:ascii="Arial" w:cs="Arial" w:eastAsia="Arial" w:hAnsi="Arial"/>
          <w:sz w:val="22"/>
          <w:szCs w:val="22"/>
          <w:color w:val="auto"/>
        </w:rPr>
        <w:t>), if a Benchmark Transition Event</w:t>
      </w:r>
      <w:r>
        <w:rPr>
          <w:rFonts w:ascii="Arial" w:cs="Arial" w:eastAsia="Arial" w:hAnsi="Arial"/>
          <w:sz w:val="22"/>
          <w:szCs w:val="22"/>
          <w:color w:val="FF0000"/>
          <w:strike w:val="1"/>
        </w:rPr>
        <w:t>, an Early Opt-in</w:t>
      </w:r>
      <w:r>
        <w:rPr>
          <w:rFonts w:ascii="Arial" w:cs="Arial" w:eastAsia="Arial" w:hAnsi="Arial"/>
          <w:sz w:val="22"/>
          <w:szCs w:val="22"/>
          <w:color w:val="auto"/>
        </w:rPr>
        <w:t xml:space="preserve"> </w:t>
      </w:r>
      <w:r>
        <w:rPr>
          <w:rFonts w:ascii="Arial" w:cs="Arial" w:eastAsia="Arial" w:hAnsi="Arial"/>
          <w:sz w:val="22"/>
          <w:szCs w:val="22"/>
          <w:color w:val="FF0000"/>
          <w:strike w:val="1"/>
        </w:rPr>
        <w:t>Election or an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01" w:right="339" w:bottom="1440" w:gutter="0" w:footer="0" w:header="0"/>
        </w:sectPr>
      </w:pPr>
    </w:p>
    <w:bookmarkStart w:id="143" w:name="page144"/>
    <w:bookmarkEnd w:id="143"/>
    <w:p>
      <w:pPr>
        <w:jc w:val="both"/>
        <w:spacing w:after="0" w:line="242" w:lineRule="auto"/>
        <w:rPr>
          <w:sz w:val="20"/>
          <w:szCs w:val="20"/>
          <w:color w:val="auto"/>
        </w:rPr>
      </w:pPr>
      <w:r>
        <w:rPr>
          <w:rFonts w:ascii="Arial" w:cs="Arial" w:eastAsia="Arial" w:hAnsi="Arial"/>
          <w:sz w:val="19"/>
          <w:szCs w:val="19"/>
          <w:color w:val="FF0000"/>
          <w:strike w:val="1"/>
        </w:rPr>
        <w:t>Benchmark Rate Election, as applicable,</w:t>
      </w:r>
      <w:r>
        <w:rPr>
          <w:rFonts w:ascii="Arial" w:cs="Arial" w:eastAsia="Arial" w:hAnsi="Arial"/>
          <w:sz w:val="19"/>
          <w:szCs w:val="19"/>
          <w:color w:val="FF0000"/>
        </w:rPr>
        <w:t xml:space="preserve"> </w:t>
      </w:r>
      <w:r>
        <w:rPr>
          <w:rFonts w:ascii="Arial" w:cs="Arial" w:eastAsia="Arial" w:hAnsi="Arial"/>
          <w:sz w:val="19"/>
          <w:szCs w:val="19"/>
          <w:color w:val="000000"/>
        </w:rPr>
        <w:t>and its related Benchmark Replacement Date have occurred prior to the Reference Time</w:t>
      </w:r>
      <w:r>
        <w:rPr>
          <w:rFonts w:ascii="Arial" w:cs="Arial" w:eastAsia="Arial" w:hAnsi="Arial"/>
          <w:sz w:val="19"/>
          <w:szCs w:val="19"/>
          <w:color w:val="FF0000"/>
        </w:rPr>
        <w:t xml:space="preserve"> </w:t>
      </w:r>
      <w:r>
        <w:rPr>
          <w:rFonts w:ascii="Arial" w:cs="Arial" w:eastAsia="Arial" w:hAnsi="Arial"/>
          <w:sz w:val="19"/>
          <w:szCs w:val="19"/>
          <w:color w:val="000000"/>
        </w:rPr>
        <w:t>in respect of any setting of the then-current Benchmark, then (x) if a Benchmark Replacement is determined in accordance with clause (1</w:t>
      </w:r>
      <w:r>
        <w:rPr>
          <w:rFonts w:ascii="Arial" w:cs="Arial" w:eastAsia="Arial" w:hAnsi="Arial"/>
          <w:sz w:val="19"/>
          <w:szCs w:val="19"/>
          <w:color w:val="FF0000"/>
          <w:strike w:val="1"/>
        </w:rPr>
        <w:t>) or (2</w:t>
      </w:r>
      <w:r>
        <w:rPr>
          <w:rFonts w:ascii="Arial" w:cs="Arial" w:eastAsia="Arial" w:hAnsi="Arial"/>
          <w:sz w:val="19"/>
          <w:szCs w:val="19"/>
          <w:color w:val="000000"/>
        </w:rPr>
        <w:t>)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19"/>
          <w:szCs w:val="19"/>
          <w:color w:val="FF0000"/>
          <w:strike w:val="1"/>
        </w:rPr>
        <w:t>3</w:t>
      </w:r>
      <w:r>
        <w:rPr>
          <w:rFonts w:ascii="Arial" w:cs="Arial" w:eastAsia="Arial" w:hAnsi="Arial"/>
          <w:sz w:val="19"/>
          <w:szCs w:val="19"/>
          <w:u w:val="single" w:color="auto"/>
          <w:color w:val="0000FF"/>
        </w:rPr>
        <w:t>2</w:t>
      </w:r>
      <w:r>
        <w:rPr>
          <w:rFonts w:ascii="Arial" w:cs="Arial" w:eastAsia="Arial" w:hAnsi="Arial"/>
          <w:sz w:val="19"/>
          <w:szCs w:val="19"/>
          <w:color w:val="000000"/>
        </w:rPr>
        <w:t>)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4" w:lineRule="exact"/>
        <w:rPr>
          <w:sz w:val="20"/>
          <w:szCs w:val="20"/>
          <w:color w:val="auto"/>
        </w:rPr>
      </w:pPr>
    </w:p>
    <w:p>
      <w:pPr>
        <w:jc w:val="both"/>
        <w:ind w:firstLine="656"/>
        <w:spacing w:after="0" w:line="244" w:lineRule="auto"/>
        <w:tabs>
          <w:tab w:leader="none" w:pos="957" w:val="left"/>
        </w:tabs>
        <w:numPr>
          <w:ilvl w:val="0"/>
          <w:numId w:val="67"/>
        </w:numPr>
        <w:rPr>
          <w:rFonts w:ascii="Arial" w:cs="Arial" w:eastAsia="Arial" w:hAnsi="Arial"/>
          <w:sz w:val="19"/>
          <w:szCs w:val="19"/>
          <w:color w:val="FF0000"/>
          <w:strike w:val="1"/>
        </w:rPr>
      </w:pPr>
      <w:r>
        <w:rPr>
          <w:rFonts w:ascii="Arial" w:cs="Arial" w:eastAsia="Arial" w:hAnsi="Arial"/>
          <w:sz w:val="19"/>
          <w:szCs w:val="19"/>
          <w:color w:val="FF0000"/>
          <w:strike w:val="1"/>
        </w:rPr>
        <w:t xml:space="preserve">Notwithstanding anything to the contrary herein or in any other Loan Document and subject to the proviso below in this paragraph, with respect to a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this </w:t>
      </w:r>
      <w:r>
        <w:rPr>
          <w:rFonts w:ascii="Arial" w:cs="Arial" w:eastAsia="Arial" w:hAnsi="Arial"/>
          <w:sz w:val="19"/>
          <w:szCs w:val="19"/>
          <w:u w:val="single" w:color="auto"/>
          <w:color w:val="FF0000"/>
          <w:strike w:val="1"/>
        </w:rPr>
        <w:t>clause (c)</w:t>
      </w:r>
      <w:r>
        <w:rPr>
          <w:rFonts w:ascii="Arial" w:cs="Arial" w:eastAsia="Arial" w:hAnsi="Arial"/>
          <w:sz w:val="19"/>
          <w:szCs w:val="19"/>
          <w:color w:val="FF0000"/>
          <w:strike w:val="1"/>
        </w:rPr>
        <w:t xml:space="preserve"> shall not be effective unless the Administrative Agent has delivered to the Lenders and the Borrower a Term SOFR Notice. For the avoidance of doubt, the Administrative Agent shall not be required to deliver a Term SOFR Notice after the occurrence of a Term SOFR Transition Event and may do so in its sole discretion.</w:t>
      </w:r>
    </w:p>
    <w:p>
      <w:pPr>
        <w:spacing w:after="0" w:line="161" w:lineRule="exact"/>
        <w:rPr>
          <w:sz w:val="20"/>
          <w:szCs w:val="20"/>
          <w:color w:val="auto"/>
        </w:rPr>
      </w:pPr>
    </w:p>
    <w:p>
      <w:pPr>
        <w:ind w:left="1120" w:hanging="464"/>
        <w:spacing w:after="0"/>
        <w:tabs>
          <w:tab w:leader="none" w:pos="1120" w:val="left"/>
        </w:tabs>
        <w:numPr>
          <w:ilvl w:val="0"/>
          <w:numId w:val="6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[reserved].</w:t>
      </w:r>
    </w:p>
    <w:p>
      <w:pPr>
        <w:spacing w:after="0" w:line="179" w:lineRule="exact"/>
        <w:rPr>
          <w:rFonts w:ascii="Arial" w:cs="Arial" w:eastAsia="Arial" w:hAnsi="Arial"/>
          <w:sz w:val="22"/>
          <w:szCs w:val="22"/>
          <w:u w:val="single" w:color="auto"/>
          <w:color w:val="0000FF"/>
        </w:rPr>
      </w:pPr>
    </w:p>
    <w:p>
      <w:pPr>
        <w:jc w:val="both"/>
        <w:ind w:firstLine="656"/>
        <w:spacing w:after="0" w:line="216" w:lineRule="auto"/>
        <w:tabs>
          <w:tab w:leader="none" w:pos="1167"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In connection with the implementation of a Benchmark Replacement, the Administrative Agent will have the right </w:t>
      </w:r>
      <w:r>
        <w:rPr>
          <w:rFonts w:ascii="Arial" w:cs="Arial" w:eastAsia="Arial" w:hAnsi="Arial"/>
          <w:sz w:val="22"/>
          <w:szCs w:val="22"/>
          <w:u w:val="single" w:color="auto"/>
          <w:color w:val="0000FF"/>
        </w:rPr>
        <w:t>(in consultation with the Borrower)</w:t>
      </w:r>
      <w:r>
        <w:rPr>
          <w:rFonts w:ascii="Arial" w:cs="Arial" w:eastAsia="Arial" w:hAnsi="Arial"/>
          <w:sz w:val="22"/>
          <w:szCs w:val="22"/>
          <w:color w:val="0000FF"/>
        </w:rPr>
        <w:t xml:space="preserve"> </w:t>
      </w:r>
      <w:r>
        <w:rPr>
          <w:rFonts w:ascii="Arial" w:cs="Arial" w:eastAsia="Arial" w:hAnsi="Arial"/>
          <w:sz w:val="22"/>
          <w:szCs w:val="22"/>
          <w:color w:val="000000"/>
        </w:rPr>
        <w:t>to make Benchmark Replacement Conforming Changes from time to time and,</w:t>
      </w:r>
      <w:r>
        <w:rPr>
          <w:rFonts w:ascii="Arial" w:cs="Arial" w:eastAsia="Arial" w:hAnsi="Arial"/>
          <w:sz w:val="22"/>
          <w:szCs w:val="22"/>
          <w:color w:val="0000FF"/>
        </w:rPr>
        <w:t xml:space="preserve"> </w:t>
      </w:r>
      <w:r>
        <w:rPr>
          <w:rFonts w:ascii="Arial" w:cs="Arial" w:eastAsia="Arial" w:hAnsi="Arial"/>
          <w:sz w:val="22"/>
          <w:szCs w:val="22"/>
          <w:color w:val="000000"/>
        </w:rPr>
        <w:t>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7" w:lineRule="exact"/>
        <w:rPr>
          <w:rFonts w:ascii="Arial" w:cs="Arial" w:eastAsia="Arial" w:hAnsi="Arial"/>
          <w:sz w:val="22"/>
          <w:szCs w:val="22"/>
          <w:color w:val="auto"/>
        </w:rPr>
      </w:pPr>
    </w:p>
    <w:p>
      <w:pPr>
        <w:jc w:val="both"/>
        <w:ind w:firstLine="656"/>
        <w:spacing w:after="0" w:line="244" w:lineRule="auto"/>
        <w:tabs>
          <w:tab w:leader="none" w:pos="1133"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Administrative Agent will promptly notify the Borrower and the Lenders of (i) any occurrence of a Benchmark Transition Event, </w:t>
      </w:r>
      <w:r>
        <w:rPr>
          <w:rFonts w:ascii="Arial" w:cs="Arial" w:eastAsia="Arial" w:hAnsi="Arial"/>
          <w:sz w:val="19"/>
          <w:szCs w:val="19"/>
          <w:color w:val="FF0000"/>
          <w:strike w:val="1"/>
        </w:rPr>
        <w:t>an Early Opt-in Election or an Other Benchmark Rate Election, as applicable,</w:t>
      </w:r>
      <w:r>
        <w:rPr>
          <w:rFonts w:ascii="Arial" w:cs="Arial" w:eastAsia="Arial" w:hAnsi="Arial"/>
          <w:sz w:val="19"/>
          <w:szCs w:val="19"/>
          <w:color w:val="auto"/>
        </w:rPr>
        <w:t xml:space="preserve"> (ii) the implementation of any Benchmark Replacement, (iii) the effectiveness of any Benchmark Replacement Conforming Changes, (iv) the removal or reinstatement of any tenor of a Benchmark pursuant to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2.11(e)</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2.11(e)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01" w:right="339" w:bottom="1440" w:gutter="0" w:footer="0" w:header="0"/>
        </w:sectPr>
      </w:pPr>
    </w:p>
    <w:bookmarkStart w:id="144" w:name="page145"/>
    <w:bookmarkEnd w:id="144"/>
    <w:p>
      <w:pPr>
        <w:jc w:val="both"/>
        <w:ind w:firstLine="656"/>
        <w:spacing w:after="0" w:line="219" w:lineRule="auto"/>
        <w:tabs>
          <w:tab w:leader="none" w:pos="1278" w:val="left"/>
        </w:tabs>
        <w:numPr>
          <w:ilvl w:val="0"/>
          <w:numId w:val="69"/>
        </w:numPr>
        <w:rPr>
          <w:rFonts w:ascii="Arial" w:cs="Arial" w:eastAsia="Arial" w:hAnsi="Arial"/>
          <w:sz w:val="21"/>
          <w:szCs w:val="21"/>
          <w:color w:val="auto"/>
        </w:rPr>
      </w:pPr>
      <w:r>
        <w:rPr>
          <w:rFonts w:ascii="Arial" w:cs="Arial" w:eastAsia="Arial" w:hAnsi="Arial"/>
          <w:sz w:val="21"/>
          <w:szCs w:val="21"/>
          <w:color w:val="auto"/>
        </w:rPr>
        <w:t>Notwithstanding anything to the contrary herein or in any other Loan Document, at any time (including in connection with the implementation of a Benchmark Replacement), (i) if the then-current Benchmark is a term rate (including Term SOFR</w:t>
      </w:r>
      <w:r>
        <w:rPr>
          <w:rFonts w:ascii="Arial" w:cs="Arial" w:eastAsia="Arial" w:hAnsi="Arial"/>
          <w:sz w:val="21"/>
          <w:szCs w:val="21"/>
          <w:color w:val="FF0000"/>
          <w:strike w:val="1"/>
        </w:rPr>
        <w:t>, LIBO</w:t>
      </w:r>
      <w:r>
        <w:rPr>
          <w:rFonts w:ascii="Arial" w:cs="Arial" w:eastAsia="Arial" w:hAnsi="Arial"/>
          <w:sz w:val="21"/>
          <w:szCs w:val="21"/>
          <w:color w:val="auto"/>
        </w:rPr>
        <w:t xml:space="preserve"> Rate, EURIBOR Rate or AUD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3" w:lineRule="exact"/>
        <w:rPr>
          <w:rFonts w:ascii="Arial" w:cs="Arial" w:eastAsia="Arial" w:hAnsi="Arial"/>
          <w:sz w:val="21"/>
          <w:szCs w:val="21"/>
          <w:color w:val="auto"/>
        </w:rPr>
      </w:pPr>
    </w:p>
    <w:p>
      <w:pPr>
        <w:jc w:val="both"/>
        <w:ind w:firstLine="656"/>
        <w:spacing w:after="0"/>
        <w:tabs>
          <w:tab w:leader="none" w:pos="1170"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a Term Benchmark Borrowing denominated in Dollars into a request for a Borrowing of or conversion to ABR Loans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for RFR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Central Bank Rate for the applicable Agreed Currency cannot be determined, any outstanding affected RFR Loans denominated in any Agreed Currency, at the Borrower’s election, shall either (A) be converted into ABR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01" w:right="339" w:bottom="1440" w:gutter="0" w:footer="0" w:header="0"/>
        </w:sectPr>
      </w:pPr>
    </w:p>
    <w:bookmarkStart w:id="145" w:name="page146"/>
    <w:bookmarkEnd w:id="145"/>
    <w:p>
      <w:pPr>
        <w:spacing w:after="0" w:line="232" w:lineRule="auto"/>
        <w:rPr>
          <w:sz w:val="20"/>
          <w:szCs w:val="20"/>
          <w:color w:val="auto"/>
        </w:rPr>
      </w:pPr>
      <w:r>
        <w:rPr>
          <w:rFonts w:ascii="Arial" w:cs="Arial" w:eastAsia="Arial" w:hAnsi="Arial"/>
          <w:sz w:val="22"/>
          <w:szCs w:val="22"/>
          <w:color w:val="auto"/>
        </w:rPr>
        <w:t>denominated in Dollars (in an amount equal to the Dollar Equivalent of such Alternative Currency) immediately or (B) be prepaid in full immediately.</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9" w:lineRule="exact"/>
        <w:rPr>
          <w:sz w:val="20"/>
          <w:szCs w:val="20"/>
          <w:color w:val="auto"/>
        </w:rPr>
      </w:pPr>
    </w:p>
    <w:p>
      <w:pPr>
        <w:ind w:left="1120" w:hanging="464"/>
        <w:spacing w:after="0"/>
        <w:tabs>
          <w:tab w:leader="none" w:pos="1120" w:val="left"/>
        </w:tabs>
        <w:numPr>
          <w:ilvl w:val="1"/>
          <w:numId w:val="70"/>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179" w:lineRule="exact"/>
        <w:rPr>
          <w:rFonts w:ascii="Arial" w:cs="Arial" w:eastAsia="Arial" w:hAnsi="Arial"/>
          <w:sz w:val="22"/>
          <w:szCs w:val="22"/>
          <w:color w:val="auto"/>
        </w:rPr>
      </w:pPr>
    </w:p>
    <w:p>
      <w:pPr>
        <w:jc w:val="both"/>
        <w:ind w:firstLine="1304"/>
        <w:spacing w:after="0" w:line="234" w:lineRule="auto"/>
        <w:tabs>
          <w:tab w:leader="none" w:pos="1723" w:val="left"/>
        </w:tabs>
        <w:numPr>
          <w:ilvl w:val="2"/>
          <w:numId w:val="70"/>
        </w:numPr>
        <w:rPr>
          <w:rFonts w:ascii="Arial" w:cs="Arial" w:eastAsia="Arial" w:hAnsi="Arial"/>
          <w:sz w:val="21"/>
          <w:szCs w:val="21"/>
          <w:color w:val="auto"/>
        </w:rPr>
      </w:pPr>
      <w:r>
        <w:rPr>
          <w:rFonts w:ascii="Arial" w:cs="Arial" w:eastAsia="Arial" w:hAnsi="Arial"/>
          <w:sz w:val="21"/>
          <w:szCs w:val="21"/>
          <w:color w:val="auto"/>
        </w:rPr>
        <w:t xml:space="preserve">impose, modify or deem applicable any reserve, special deposit, compulsory loan, insurance charge or similar requirement against assets of, deposits with or for the account of, or credit extended by, any Lender (except any such reserve requirement reflected in the Adjusted </w:t>
      </w:r>
      <w:r>
        <w:rPr>
          <w:rFonts w:ascii="Arial" w:cs="Arial" w:eastAsia="Arial" w:hAnsi="Arial"/>
          <w:sz w:val="21"/>
          <w:szCs w:val="21"/>
          <w:color w:val="FF0000"/>
          <w:strike w:val="1"/>
        </w:rPr>
        <w:t>LIBO Rate or Adjusted</w:t>
      </w:r>
      <w:r>
        <w:rPr>
          <w:rFonts w:ascii="Arial" w:cs="Arial" w:eastAsia="Arial" w:hAnsi="Arial"/>
          <w:sz w:val="21"/>
          <w:szCs w:val="21"/>
          <w:color w:val="auto"/>
        </w:rPr>
        <w:t xml:space="preserve"> EURIBOR Rate) or any Issuing Bank;</w:t>
      </w:r>
    </w:p>
    <w:p>
      <w:pPr>
        <w:spacing w:after="0" w:line="157" w:lineRule="exact"/>
        <w:rPr>
          <w:rFonts w:ascii="Arial" w:cs="Arial" w:eastAsia="Arial" w:hAnsi="Arial"/>
          <w:sz w:val="21"/>
          <w:szCs w:val="21"/>
          <w:color w:val="auto"/>
        </w:rPr>
      </w:pPr>
    </w:p>
    <w:p>
      <w:pPr>
        <w:jc w:val="both"/>
        <w:ind w:firstLine="1304"/>
        <w:spacing w:after="0" w:line="243" w:lineRule="auto"/>
        <w:tabs>
          <w:tab w:leader="none" w:pos="1863" w:val="left"/>
        </w:tabs>
        <w:numPr>
          <w:ilvl w:val="2"/>
          <w:numId w:val="70"/>
        </w:numPr>
        <w:rPr>
          <w:rFonts w:ascii="Arial" w:cs="Arial" w:eastAsia="Arial" w:hAnsi="Arial"/>
          <w:sz w:val="19"/>
          <w:szCs w:val="19"/>
          <w:color w:val="auto"/>
        </w:rPr>
      </w:pPr>
      <w:r>
        <w:rPr>
          <w:rFonts w:ascii="Arial" w:cs="Arial" w:eastAsia="Arial" w:hAnsi="Arial"/>
          <w:sz w:val="19"/>
          <w:szCs w:val="19"/>
          <w:color w:val="auto"/>
        </w:rPr>
        <w:t>subject the Administrative Agent, any Issuing Bank, any Lender, the London or other applicable offshore interbank market for the applicable Agreed Currency or any other recipient of any payment to be made by or on account of any obligation of the Borrower hereunder, to any Taxes (other than (A) Indemnified Taxes, (B) Taxes described in clauses (b) through</w:t>
      </w:r>
    </w:p>
    <w:p>
      <w:pPr>
        <w:spacing w:after="0" w:line="2" w:lineRule="exact"/>
        <w:rPr>
          <w:rFonts w:ascii="Arial" w:cs="Arial" w:eastAsia="Arial" w:hAnsi="Arial"/>
          <w:sz w:val="19"/>
          <w:szCs w:val="19"/>
          <w:color w:val="auto"/>
        </w:rPr>
      </w:pPr>
    </w:p>
    <w:p>
      <w:pPr>
        <w:ind w:firstLine="8"/>
        <w:spacing w:after="0" w:line="224" w:lineRule="auto"/>
        <w:tabs>
          <w:tab w:leader="none" w:pos="3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of the definition of Excluded Taxes and (C) Connection Income Taxes) on its loans, loan principal, letters of credit, commitments, or other obligations, or its deposits, reserves, other liabilities or capital attributable thereto; or</w:t>
      </w:r>
    </w:p>
    <w:p>
      <w:pPr>
        <w:spacing w:after="0" w:line="157" w:lineRule="exact"/>
        <w:rPr>
          <w:rFonts w:ascii="Arial" w:cs="Arial" w:eastAsia="Arial" w:hAnsi="Arial"/>
          <w:sz w:val="22"/>
          <w:szCs w:val="22"/>
          <w:color w:val="auto"/>
        </w:rPr>
      </w:pPr>
    </w:p>
    <w:p>
      <w:pPr>
        <w:jc w:val="both"/>
        <w:ind w:firstLine="1304"/>
        <w:spacing w:after="0" w:line="246" w:lineRule="auto"/>
        <w:tabs>
          <w:tab w:leader="none" w:pos="1850" w:val="left"/>
        </w:tabs>
        <w:numPr>
          <w:ilvl w:val="2"/>
          <w:numId w:val="71"/>
        </w:numPr>
        <w:rPr>
          <w:rFonts w:ascii="Arial" w:cs="Arial" w:eastAsia="Arial" w:hAnsi="Arial"/>
          <w:sz w:val="19"/>
          <w:szCs w:val="19"/>
          <w:color w:val="auto"/>
        </w:rPr>
      </w:pPr>
      <w:r>
        <w:rPr>
          <w:rFonts w:ascii="Arial" w:cs="Arial" w:eastAsia="Arial" w:hAnsi="Arial"/>
          <w:sz w:val="19"/>
          <w:szCs w:val="19"/>
          <w:color w:val="auto"/>
        </w:rPr>
        <w:t>impose on any Lender or Issuing Bank or the London interbank market any other condition, cost or expense (other than Indemnified Taxes and Excluded Taxes) affecting this Agreement or Term Benchmark Loans made by such Lender or any Letter of Credit or participation therein; and the result of any of the foregoing shall be to increase the cost to such Lender or Issuing Bank of making, continuing, converting to or maintaining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such additional amount or amounts as will compensate such Lender or Issuing Bank for such additional costs incurred or reduction suffered.</w:t>
      </w:r>
    </w:p>
    <w:p>
      <w:pPr>
        <w:spacing w:after="0" w:line="152" w:lineRule="exact"/>
        <w:rPr>
          <w:rFonts w:ascii="Arial" w:cs="Arial" w:eastAsia="Arial" w:hAnsi="Arial"/>
          <w:sz w:val="19"/>
          <w:szCs w:val="19"/>
          <w:color w:val="auto"/>
        </w:rPr>
      </w:pPr>
    </w:p>
    <w:p>
      <w:pPr>
        <w:jc w:val="both"/>
        <w:ind w:firstLine="656"/>
        <w:spacing w:after="0" w:line="244" w:lineRule="auto"/>
        <w:tabs>
          <w:tab w:leader="none" w:pos="1136"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the Commitments hereunder or the Loans made by, or participations in Letters of Credit held by, such Lender, or the Letters of Credit issued by such Issuing Bank, to a level below that which such Lender or such Issuing Bank or such Lender’s or such Issuing Bank’s holding company would have achieved but for such Change in Law (taking into consideration such Lender’s or Issuing Bank’s policies and the policies of such Lender’s or Issuing Bank’s holding company with respect to capital adequacy or liquidity), then from time to time the Borrower will pay to such Lender or Issuing Bank such additional amount or amounts as will compensate such Lender or Issuing Bank or such Lender’s or Issuing Bank’s holding company for any such reduction suffered.</w:t>
      </w:r>
    </w:p>
    <w:p>
      <w:pPr>
        <w:spacing w:after="0" w:line="160" w:lineRule="exact"/>
        <w:rPr>
          <w:rFonts w:ascii="Arial" w:cs="Arial" w:eastAsia="Arial" w:hAnsi="Arial"/>
          <w:sz w:val="19"/>
          <w:szCs w:val="19"/>
          <w:color w:val="auto"/>
        </w:rPr>
      </w:pPr>
    </w:p>
    <w:p>
      <w:pPr>
        <w:jc w:val="both"/>
        <w:ind w:firstLine="656"/>
        <w:spacing w:after="0" w:line="229" w:lineRule="auto"/>
        <w:tabs>
          <w:tab w:leader="none" w:pos="1213" w:val="left"/>
        </w:tabs>
        <w:numPr>
          <w:ilvl w:val="1"/>
          <w:numId w:val="71"/>
        </w:numPr>
        <w:rPr>
          <w:rFonts w:ascii="Arial" w:cs="Arial" w:eastAsia="Arial" w:hAnsi="Arial"/>
          <w:sz w:val="21"/>
          <w:szCs w:val="21"/>
          <w:color w:val="auto"/>
        </w:rPr>
      </w:pPr>
      <w:r>
        <w:rPr>
          <w:rFonts w:ascii="Arial" w:cs="Arial" w:eastAsia="Arial" w:hAnsi="Arial"/>
          <w:sz w:val="21"/>
          <w:szCs w:val="21"/>
          <w:color w:val="auto"/>
        </w:rPr>
        <w:t>A certificate of a Lender or Issuing Bank setting forth in reasonable detail the amount or amounts necessary to compensate such Lender or Issuing Bank or its holding company, as the case may be, as specified in paragraph (a) or (b) of this Section shall be delivered to the Borrower and shall be conclusive absent manifest error. The Borrower shall pay such Lender or Issuing Bank the amount shown as due on any such certificate within 10 days after receipt thereof.</w:t>
      </w:r>
    </w:p>
    <w:p>
      <w:pPr>
        <w:spacing w:after="0" w:line="158" w:lineRule="exact"/>
        <w:rPr>
          <w:rFonts w:ascii="Arial" w:cs="Arial" w:eastAsia="Arial" w:hAnsi="Arial"/>
          <w:sz w:val="21"/>
          <w:szCs w:val="21"/>
          <w:color w:val="auto"/>
        </w:rPr>
      </w:pPr>
    </w:p>
    <w:p>
      <w:pPr>
        <w:ind w:firstLine="656"/>
        <w:spacing w:after="0" w:line="232" w:lineRule="auto"/>
        <w:tabs>
          <w:tab w:leader="none" w:pos="1172" w:val="left"/>
        </w:tabs>
        <w:numPr>
          <w:ilvl w:val="1"/>
          <w:numId w:val="71"/>
        </w:numPr>
        <w:rPr>
          <w:rFonts w:ascii="Arial" w:cs="Arial" w:eastAsia="Arial" w:hAnsi="Arial"/>
          <w:sz w:val="22"/>
          <w:szCs w:val="22"/>
          <w:color w:val="auto"/>
        </w:rPr>
      </w:pPr>
      <w:r>
        <w:rPr>
          <w:rFonts w:ascii="Arial" w:cs="Arial" w:eastAsia="Arial" w:hAnsi="Arial"/>
          <w:sz w:val="22"/>
          <w:szCs w:val="22"/>
          <w:color w:val="auto"/>
        </w:rPr>
        <w:t>Failure or delay on the part of any Lender or Issuing Bank to demand compensation pursuant to this Section shall not constitute a waiver of such Lender’s or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01" w:right="339" w:bottom="1440" w:gutter="0" w:footer="0" w:header="0"/>
        </w:sectPr>
      </w:pPr>
    </w:p>
    <w:bookmarkStart w:id="146" w:name="page147"/>
    <w:bookmarkEnd w:id="146"/>
    <w:p>
      <w:pPr>
        <w:jc w:val="both"/>
        <w:spacing w:after="0" w:line="224" w:lineRule="auto"/>
        <w:rPr>
          <w:sz w:val="20"/>
          <w:szCs w:val="20"/>
          <w:color w:val="auto"/>
        </w:rPr>
      </w:pPr>
      <w:r>
        <w:rPr>
          <w:rFonts w:ascii="Arial" w:cs="Arial" w:eastAsia="Arial" w:hAnsi="Arial"/>
          <w:sz w:val="21"/>
          <w:szCs w:val="21"/>
          <w:color w:val="auto"/>
        </w:rPr>
        <w:t xml:space="preserve">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160" w:lineRule="exact"/>
        <w:rPr>
          <w:sz w:val="20"/>
          <w:szCs w:val="20"/>
          <w:color w:val="auto"/>
        </w:rPr>
      </w:pPr>
    </w:p>
    <w:p>
      <w:pPr>
        <w:jc w:val="both"/>
        <w:ind w:firstLine="656"/>
        <w:spacing w:after="0" w:line="268" w:lineRule="auto"/>
        <w:tabs>
          <w:tab w:leader="none" w:pos="1151"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Notwithstanding the foregoing, increased costs due to a Change in Law resulting from the Dodd-Frank Wall Street Reform and Consumer Protection Act and Basel III may only be requested by a Lender imposing such increased costs on borrowers similarly situated to the Borrower under syndicated credit facilities comparable to those provided hereunder.</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(a) With respect to Loans that are not RFR Loans, in the event of (i) the payment or prepayment of any principal of any Term Benchmark Loan other than on the last day of an Interest Period applicable thereto (whether voluntary, mandatory, automatic, by reason of acceleration, or otherwise),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and is revoked in accordance therewith), (iv) the assignment of any Term Benchmark Loan other than on the last day of the Interest Period applicable thereto as a result of a request by the Borrower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(v) the 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Loan had such event not occurred, at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Rate or the Adjusted EURIBOR Rate,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Agreed Currency of a comparable amount and period from other banks in the applicable offshore interbank market for such Agreed Currency.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64" w:lineRule="exact"/>
        <w:rPr>
          <w:sz w:val="20"/>
          <w:szCs w:val="20"/>
          <w:color w:val="auto"/>
        </w:rPr>
      </w:pPr>
    </w:p>
    <w:p>
      <w:pPr>
        <w:jc w:val="both"/>
        <w:ind w:firstLine="656"/>
        <w:spacing w:after="0" w:line="221" w:lineRule="auto"/>
        <w:tabs>
          <w:tab w:leader="none" w:pos="1189"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Arial" w:cs="Arial" w:eastAsia="Arial" w:hAnsi="Arial"/>
          <w:sz w:val="21"/>
          <w:szCs w:val="21"/>
          <w:u w:val="single" w:color="auto"/>
          <w:color w:val="auto"/>
        </w:rPr>
        <w:t>Section 2.08(b)</w:t>
      </w:r>
      <w:r>
        <w:rPr>
          <w:rFonts w:ascii="Arial" w:cs="Arial" w:eastAsia="Arial" w:hAnsi="Arial"/>
          <w:sz w:val="21"/>
          <w:szCs w:val="21"/>
          <w:color w:val="auto"/>
        </w:rPr>
        <w:t xml:space="preserve"> and is revoked in accordance therewith), (iii) the assignment of any RFR Loan other than on the Interest Payment Date applicable thereto as a result of a request by the Borrower pursuant to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or (iv) the 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 A certificate of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01" w:right="339" w:bottom="1440" w:gutter="0" w:footer="0" w:header="0"/>
        </w:sectPr>
      </w:pPr>
    </w:p>
    <w:bookmarkStart w:id="147" w:name="page148"/>
    <w:bookmarkEnd w:id="147"/>
    <w:p>
      <w:pPr>
        <w:jc w:val="both"/>
        <w:spacing w:after="0" w:line="223" w:lineRule="auto"/>
        <w:rPr>
          <w:sz w:val="20"/>
          <w:szCs w:val="20"/>
          <w:color w:val="auto"/>
        </w:rPr>
      </w:pPr>
      <w:r>
        <w:rPr>
          <w:rFonts w:ascii="Arial" w:cs="Arial" w:eastAsia="Arial" w:hAnsi="Arial"/>
          <w:sz w:val="22"/>
          <w:szCs w:val="22"/>
          <w:color w:val="auto"/>
        </w:rPr>
        <w:t>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79" w:lineRule="exact"/>
        <w:rPr>
          <w:sz w:val="20"/>
          <w:szCs w:val="20"/>
          <w:color w:val="auto"/>
        </w:rPr>
      </w:pPr>
    </w:p>
    <w:p>
      <w:pPr>
        <w:jc w:val="both"/>
        <w:ind w:firstLine="656"/>
        <w:spacing w:after="0" w:line="243" w:lineRule="auto"/>
        <w:tabs>
          <w:tab w:leader="none" w:pos="119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and all payments by or on account of any obligation of any Loan Party under any Loan Document shall be made free and clear of and without deduction or withholding for any Taxes, except as required by law. If any applicable law (as determined in the good faith discretion of an applicable Withholding Agent) requires the deduction or withholding of any Tax from any such payment by a Withholding Agent, then the applicable Withholding Agent shall make such deduction or withholding and timely pay the full amount deducted or withheld to the relevant Governmental Authority in accordance with applicable law and, if such Tax is an Indemnified Tax, then the sum payable by the Borrower shall be increased as necessary (or, where the Indemnified Tax is a Tax imposed by Australia, the applicable Withholding Agent shall pay an additional amount to the Administrative Agent, Issuing Bank or Lender (as the case may be)) so that after making such deduction or withholding for Indemnified Taxes (including such deductions and withholdings for Indemnified Taxes applicable to additional sums payable under this Section) the Administrative Agent, Issuing Bank or Lender (as the case may be) receives an amount equal to the sum it would have received had no such deduction or withholding for Indemnified Taxes been made.</w:t>
      </w:r>
    </w:p>
    <w:p>
      <w:pPr>
        <w:spacing w:after="0" w:line="158" w:lineRule="exact"/>
        <w:rPr>
          <w:rFonts w:ascii="Arial" w:cs="Arial" w:eastAsia="Arial" w:hAnsi="Arial"/>
          <w:sz w:val="19"/>
          <w:szCs w:val="19"/>
          <w:color w:val="auto"/>
        </w:rPr>
      </w:pPr>
    </w:p>
    <w:p>
      <w:pPr>
        <w:ind w:firstLine="656"/>
        <w:spacing w:after="0" w:line="232" w:lineRule="auto"/>
        <w:tabs>
          <w:tab w:leader="none" w:pos="1127"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addition, the Loan Parties shall timely pay any Other Taxes to the relevant Governmental Authority in accordance with applicable law.</w:t>
      </w:r>
    </w:p>
    <w:p>
      <w:pPr>
        <w:spacing w:after="0" w:line="158" w:lineRule="exact"/>
        <w:rPr>
          <w:rFonts w:ascii="Arial" w:cs="Arial" w:eastAsia="Arial" w:hAnsi="Arial"/>
          <w:sz w:val="22"/>
          <w:szCs w:val="22"/>
          <w:color w:val="auto"/>
        </w:rPr>
      </w:pPr>
    </w:p>
    <w:p>
      <w:pPr>
        <w:jc w:val="both"/>
        <w:ind w:firstLine="656"/>
        <w:spacing w:after="0" w:line="221" w:lineRule="auto"/>
        <w:tabs>
          <w:tab w:leader="none" w:pos="1251"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Loan Parties shall jointly and severally indemnify the Administrative Agent, each Issuing Bank and each Lender, within 10 days after demand therefor, for the full amount of any Indemnified Taxes paid by the Administrative Agent, such Issuing Bank or such Lender, as the case may be, or required to be withheld or deducted from any payment to such recipient by or on account of any obligation of the Borrower hereunder (including Indemnified Taxes imposed or asserted on or attributable to amounts payable under this Section)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an Issuing Bank or a Lender (with a copy to the Administrative Agent), or by the Administrative Agent on its own behalf or on behalf of an Issuing Bank or a Lender, shall be conclusive absent manifest error.</w:t>
      </w:r>
    </w:p>
    <w:p>
      <w:pPr>
        <w:spacing w:after="0" w:line="158" w:lineRule="exact"/>
        <w:rPr>
          <w:rFonts w:ascii="Arial" w:cs="Arial" w:eastAsia="Arial" w:hAnsi="Arial"/>
          <w:sz w:val="21"/>
          <w:szCs w:val="21"/>
          <w:color w:val="auto"/>
        </w:rPr>
      </w:pPr>
    </w:p>
    <w:p>
      <w:pPr>
        <w:jc w:val="both"/>
        <w:ind w:firstLine="656"/>
        <w:spacing w:after="0" w:line="243" w:lineRule="auto"/>
        <w:tabs>
          <w:tab w:leader="none" w:pos="1171"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Each Lender shall severally indemnify the Administrative Agent, within 10 days after demand therefor, for (i) any Indemnified Taxes attributable to such Lender (but only to the extent that the Loan Parties have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relating to the maintenance of a Participant Register and (iii) any Excluded Taxes attributable to such Lender, in each case, that are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01" w:right="339" w:bottom="1440" w:gutter="0" w:footer="0" w:header="0"/>
        </w:sectPr>
      </w:pPr>
    </w:p>
    <w:bookmarkStart w:id="148" w:name="page149"/>
    <w:bookmarkEnd w:id="148"/>
    <w:p>
      <w:pPr>
        <w:jc w:val="both"/>
        <w:ind w:firstLine="656"/>
        <w:spacing w:after="0" w:line="218" w:lineRule="auto"/>
        <w:tabs>
          <w:tab w:leader="none" w:pos="112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soon as practicable after any payment of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0" w:lineRule="exact"/>
        <w:rPr>
          <w:rFonts w:ascii="Arial" w:cs="Arial" w:eastAsia="Arial" w:hAnsi="Arial"/>
          <w:sz w:val="22"/>
          <w:szCs w:val="22"/>
          <w:color w:val="auto"/>
        </w:rPr>
      </w:pPr>
    </w:p>
    <w:p>
      <w:pPr>
        <w:jc w:val="both"/>
        <w:ind w:firstLine="656"/>
        <w:spacing w:after="0" w:line="216" w:lineRule="auto"/>
        <w:tabs>
          <w:tab w:leader="none" w:pos="1118"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Foreign Lender, if it is legally entitled to do so, shall deliver to the Borrower and the Administrative Agent (in such number of copies as shall be required by law or requested by the recipient) on or prior to the date on which such Foreign Lender becomes a Lender under this Agreement (and from time to time thereafter as required by law or upon the reasonable request of the Borrower or the Administrative Agent, but only if such Foreign Lender is legally entitled to do so), whichever of the following is applicable:</w:t>
      </w:r>
    </w:p>
    <w:p>
      <w:pPr>
        <w:spacing w:after="0" w:line="157" w:lineRule="exact"/>
        <w:rPr>
          <w:rFonts w:ascii="Arial" w:cs="Arial" w:eastAsia="Arial" w:hAnsi="Arial"/>
          <w:sz w:val="22"/>
          <w:szCs w:val="22"/>
          <w:color w:val="auto"/>
        </w:rPr>
      </w:pPr>
    </w:p>
    <w:p>
      <w:pPr>
        <w:ind w:firstLine="1304"/>
        <w:spacing w:after="0" w:line="232" w:lineRule="auto"/>
        <w:tabs>
          <w:tab w:leader="none" w:pos="1814" w:val="left"/>
        </w:tabs>
        <w:numPr>
          <w:ilvl w:val="1"/>
          <w:numId w:val="75"/>
        </w:numPr>
        <w:rPr>
          <w:rFonts w:ascii="Arial" w:cs="Arial" w:eastAsia="Arial" w:hAnsi="Arial"/>
          <w:sz w:val="22"/>
          <w:szCs w:val="22"/>
          <w:color w:val="auto"/>
        </w:rPr>
      </w:pPr>
      <w:r>
        <w:rPr>
          <w:rFonts w:ascii="Arial" w:cs="Arial" w:eastAsia="Arial" w:hAnsi="Arial"/>
          <w:sz w:val="22"/>
          <w:szCs w:val="22"/>
          <w:color w:val="auto"/>
        </w:rPr>
        <w:t>executed originals of IRS Form W-8BEN or IRS Form W-8BEN-E, as applicable, claiming eligibility for benefits of an income tax treaty to which the United States of America is a party;</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888" w:val="left"/>
        </w:tabs>
        <w:numPr>
          <w:ilvl w:val="1"/>
          <w:numId w:val="75"/>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originals of IRS Form W-8BEN or IRS Form W-8BEN-E, as applicable;</w:t>
      </w:r>
    </w:p>
    <w:p>
      <w:pPr>
        <w:spacing w:after="0" w:line="157" w:lineRule="exact"/>
        <w:rPr>
          <w:rFonts w:ascii="Arial" w:cs="Arial" w:eastAsia="Arial" w:hAnsi="Arial"/>
          <w:sz w:val="22"/>
          <w:szCs w:val="22"/>
          <w:color w:val="auto"/>
        </w:rPr>
      </w:pPr>
    </w:p>
    <w:p>
      <w:pPr>
        <w:jc w:val="both"/>
        <w:ind w:firstLine="1304"/>
        <w:spacing w:after="0" w:line="214" w:lineRule="auto"/>
        <w:tabs>
          <w:tab w:leader="none" w:pos="1976" w:val="left"/>
        </w:tabs>
        <w:numPr>
          <w:ilvl w:val="1"/>
          <w:numId w:val="75"/>
        </w:numPr>
        <w:rPr>
          <w:rFonts w:ascii="Arial" w:cs="Arial" w:eastAsia="Arial" w:hAnsi="Arial"/>
          <w:sz w:val="22"/>
          <w:szCs w:val="22"/>
          <w:color w:val="auto"/>
        </w:rPr>
      </w:pPr>
      <w:r>
        <w:rPr>
          <w:rFonts w:ascii="Arial" w:cs="Arial" w:eastAsia="Arial" w:hAnsi="Arial"/>
          <w:sz w:val="22"/>
          <w:szCs w:val="22"/>
          <w:color w:val="auto"/>
        </w:rPr>
        <w:t xml:space="preserve">to the extent a Foreign Lender is not the beneficial owner, executed originals of IRS Form W-8IMY, accompanied by IRS Form W-8ECI, IRS Form W-8BEN, IRS Form W-8BEN-E, a portfolio interest certificate in compliance with </w:t>
      </w:r>
      <w:r>
        <w:rPr>
          <w:rFonts w:ascii="Arial" w:cs="Arial" w:eastAsia="Arial" w:hAnsi="Arial"/>
          <w:sz w:val="22"/>
          <w:szCs w:val="22"/>
          <w:u w:val="single" w:color="auto"/>
          <w:color w:val="auto"/>
        </w:rPr>
        <w:t>Section 2.14(f)(iii)</w:t>
      </w:r>
      <w:r>
        <w:rPr>
          <w:rFonts w:ascii="Arial" w:cs="Arial" w:eastAsia="Arial" w:hAnsi="Arial"/>
          <w:sz w:val="22"/>
          <w:szCs w:val="22"/>
          <w:color w:val="auto"/>
        </w:rPr>
        <w:t xml:space="preserve">, IRS Form W-9, and/or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certificate in compliance with </w:t>
      </w:r>
      <w:r>
        <w:rPr>
          <w:rFonts w:ascii="Arial" w:cs="Arial" w:eastAsia="Arial" w:hAnsi="Arial"/>
          <w:sz w:val="22"/>
          <w:szCs w:val="22"/>
          <w:u w:val="single" w:color="auto"/>
          <w:color w:val="auto"/>
        </w:rPr>
        <w:t>Section 2.14(f)(iii)</w:t>
      </w:r>
      <w:r>
        <w:rPr>
          <w:rFonts w:ascii="Arial" w:cs="Arial" w:eastAsia="Arial" w:hAnsi="Arial"/>
          <w:sz w:val="22"/>
          <w:szCs w:val="22"/>
          <w:color w:val="auto"/>
        </w:rPr>
        <w:t xml:space="preserve"> on behalf of such direct or indirect partner or partners; or</w:t>
      </w:r>
    </w:p>
    <w:p>
      <w:pPr>
        <w:spacing w:after="0" w:line="158" w:lineRule="exact"/>
        <w:rPr>
          <w:rFonts w:ascii="Arial" w:cs="Arial" w:eastAsia="Arial" w:hAnsi="Arial"/>
          <w:sz w:val="22"/>
          <w:szCs w:val="22"/>
          <w:color w:val="auto"/>
        </w:rPr>
      </w:pPr>
    </w:p>
    <w:p>
      <w:pPr>
        <w:jc w:val="both"/>
        <w:ind w:firstLine="1304"/>
        <w:spacing w:after="0" w:line="226" w:lineRule="auto"/>
        <w:tabs>
          <w:tab w:leader="none" w:pos="1821"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unless, in the Foreign Lender’s reasonable determination, such completion would subject such Foreign Lender to any material cost or expense or would materially prejudice the legal or commercial position of such Foreign Lender.</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In addition, any Lender that is a U.S. Person shall deliver to the Borrower and the Administrative Agent on or prior to the date on which such Lender becomes a Lender under this Agreement (and from time to time thereafter as required by law or upon the reasonable request of the Borrower or the Administrative Agent), executed originals of IRS Form W-9 certifying that such Lender is exempt from U.S. federal backup withholding. In addition, each Lender shall deliver such forms (including those forms required pursuant to </w:t>
      </w:r>
      <w:r>
        <w:rPr>
          <w:rFonts w:ascii="Arial" w:cs="Arial" w:eastAsia="Arial" w:hAnsi="Arial"/>
          <w:sz w:val="19"/>
          <w:szCs w:val="19"/>
          <w:u w:val="single" w:color="auto"/>
          <w:color w:val="auto"/>
        </w:rPr>
        <w:t>Section 2.14(g)</w:t>
      </w:r>
      <w:r>
        <w:rPr>
          <w:rFonts w:ascii="Arial" w:cs="Arial" w:eastAsia="Arial" w:hAnsi="Arial"/>
          <w:sz w:val="19"/>
          <w:szCs w:val="19"/>
          <w:color w:val="auto"/>
        </w:rPr>
        <w:t>) promptly upon the obsolescence or invalidity of any form previously delivered by such Lender or promptly notify the Borrower and the Administrative Agent in writing of its legal inability to do so.</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In addition, the Administrative Agent shall deliver to the Borrower on or prior to the date on which the Administrative Agent becomes the Administrative Agent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01" w:right="339" w:bottom="1440" w:gutter="0" w:footer="0" w:header="0"/>
        </w:sectPr>
      </w:pPr>
    </w:p>
    <w:bookmarkStart w:id="149" w:name="page150"/>
    <w:bookmarkEnd w:id="149"/>
    <w:p>
      <w:pPr>
        <w:spacing w:after="0" w:line="232" w:lineRule="auto"/>
        <w:rPr>
          <w:sz w:val="20"/>
          <w:szCs w:val="20"/>
          <w:color w:val="auto"/>
        </w:rPr>
      </w:pPr>
      <w:r>
        <w:rPr>
          <w:rFonts w:ascii="Arial" w:cs="Arial" w:eastAsia="Arial" w:hAnsi="Arial"/>
          <w:sz w:val="22"/>
          <w:szCs w:val="22"/>
          <w:color w:val="auto"/>
        </w:rPr>
        <w:t>(and from time to time thereafter as required by law or upon the reasonable request of the Borrower), an executed original of IRS Form W-9 certifying that such Administrative Agent is exempt from U.S. federal backup withholding.</w:t>
      </w:r>
    </w:p>
    <w:p>
      <w:pPr>
        <w:spacing w:after="0" w:line="159" w:lineRule="exact"/>
        <w:rPr>
          <w:sz w:val="20"/>
          <w:szCs w:val="20"/>
          <w:color w:val="auto"/>
        </w:rPr>
      </w:pPr>
    </w:p>
    <w:p>
      <w:pPr>
        <w:jc w:val="both"/>
        <w:ind w:firstLine="656"/>
        <w:spacing w:after="0" w:line="244" w:lineRule="auto"/>
        <w:tabs>
          <w:tab w:leader="none" w:pos="1119"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a payment made to a Lender under any Loan Document would be subject to U.S. federal withholding Tax imposed by FATCA if such Lender failed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other documentation reasonably requested by the Borrower and the Administrative Agent sufficient for the Administrative Agent and the Borrower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Section 2.14(g)</w:t>
      </w:r>
      <w:r>
        <w:rPr>
          <w:rFonts w:ascii="Arial" w:cs="Arial" w:eastAsia="Arial" w:hAnsi="Arial"/>
          <w:sz w:val="19"/>
          <w:szCs w:val="19"/>
          <w:color w:val="auto"/>
        </w:rPr>
        <w:t>, “FATCA” shall include any amendments made to FATCA after the date of this Agreement.</w:t>
      </w:r>
    </w:p>
    <w:p>
      <w:pPr>
        <w:spacing w:after="0" w:line="160" w:lineRule="exact"/>
        <w:rPr>
          <w:rFonts w:ascii="Arial" w:cs="Arial" w:eastAsia="Arial" w:hAnsi="Arial"/>
          <w:sz w:val="19"/>
          <w:szCs w:val="19"/>
          <w:color w:val="auto"/>
        </w:rPr>
      </w:pPr>
    </w:p>
    <w:p>
      <w:pPr>
        <w:jc w:val="both"/>
        <w:ind w:firstLine="656"/>
        <w:spacing w:after="0" w:line="241" w:lineRule="auto"/>
        <w:tabs>
          <w:tab w:leader="none" w:pos="11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384" w:lineRule="exact"/>
        <w:rPr>
          <w:rFonts w:ascii="Arial" w:cs="Arial" w:eastAsia="Arial" w:hAnsi="Arial"/>
          <w:sz w:val="19"/>
          <w:szCs w:val="19"/>
          <w:color w:val="auto"/>
        </w:rPr>
      </w:pPr>
    </w:p>
    <w:p>
      <w:pPr>
        <w:ind w:left="1080" w:hanging="424"/>
        <w:spacing w:after="0"/>
        <w:tabs>
          <w:tab w:leader="none" w:pos="10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Indirect Tax.</w:t>
      </w:r>
    </w:p>
    <w:p>
      <w:pPr>
        <w:spacing w:after="0" w:line="179" w:lineRule="exact"/>
        <w:rPr>
          <w:rFonts w:ascii="Arial" w:cs="Arial" w:eastAsia="Arial" w:hAnsi="Arial"/>
          <w:sz w:val="22"/>
          <w:szCs w:val="22"/>
          <w:color w:val="auto"/>
        </w:rPr>
      </w:pPr>
    </w:p>
    <w:p>
      <w:pPr>
        <w:jc w:val="both"/>
        <w:ind w:firstLine="1304"/>
        <w:spacing w:after="0" w:line="224" w:lineRule="auto"/>
        <w:tabs>
          <w:tab w:leader="none" w:pos="1852" w:val="left"/>
        </w:tabs>
        <w:numPr>
          <w:ilvl w:val="1"/>
          <w:numId w:val="76"/>
        </w:numPr>
        <w:rPr>
          <w:rFonts w:ascii="Arial" w:cs="Arial" w:eastAsia="Arial" w:hAnsi="Arial"/>
          <w:sz w:val="21"/>
          <w:szCs w:val="21"/>
          <w:color w:val="auto"/>
        </w:rPr>
      </w:pPr>
      <w:r>
        <w:rPr>
          <w:rFonts w:ascii="Arial" w:cs="Arial" w:eastAsia="Arial" w:hAnsi="Arial"/>
          <w:sz w:val="21"/>
          <w:szCs w:val="21"/>
          <w:color w:val="auto"/>
        </w:rPr>
        <w:t>All payments to be made by a Loan Party under or in connection with any Loan Document have been calculated without regard to Indirect Tax. If all or part of any such payment is the consideration for a taxable supply or chargeable without Indirect Tax then, when the Loan Party makes the payment: (a) it must pay to the Administrative Agent, Issuing Bank or Lender (as the case may be) an additional amount equal to that payment (or part) multiplied by the appropriate rate of Indirect Tax; and (b) the Administrative Agent, Issuing Bank or Lender (as the case may be) will promptly provide to the Loan Party a tax invoice complying with the relevant law relating to that Indirect Tax.</w:t>
      </w:r>
    </w:p>
    <w:p>
      <w:pPr>
        <w:spacing w:after="0" w:line="159" w:lineRule="exact"/>
        <w:rPr>
          <w:rFonts w:ascii="Arial" w:cs="Arial" w:eastAsia="Arial" w:hAnsi="Arial"/>
          <w:sz w:val="21"/>
          <w:szCs w:val="21"/>
          <w:color w:val="auto"/>
        </w:rPr>
      </w:pPr>
    </w:p>
    <w:p>
      <w:pPr>
        <w:jc w:val="both"/>
        <w:ind w:firstLine="1304"/>
        <w:spacing w:after="0" w:line="268" w:lineRule="auto"/>
        <w:tabs>
          <w:tab w:leader="none" w:pos="1885" w:val="left"/>
        </w:tabs>
        <w:numPr>
          <w:ilvl w:val="1"/>
          <w:numId w:val="76"/>
        </w:numPr>
        <w:rPr>
          <w:rFonts w:ascii="Arial" w:cs="Arial" w:eastAsia="Arial" w:hAnsi="Arial"/>
          <w:sz w:val="19"/>
          <w:szCs w:val="19"/>
          <w:color w:val="auto"/>
        </w:rPr>
      </w:pPr>
      <w:r>
        <w:rPr>
          <w:rFonts w:ascii="Arial" w:cs="Arial" w:eastAsia="Arial" w:hAnsi="Arial"/>
          <w:sz w:val="19"/>
          <w:szCs w:val="19"/>
          <w:color w:val="auto"/>
        </w:rPr>
        <w:t>Where a Loan Document requires a Loan Party to reimburse or indemnify the Administrative Agent, an Issuing Bank or a Lender (as the case may be) for any costs or expenses, that Loan Party shall also at the same time pay and indemnify that Administrative Agent, Issuing Bank or Lender against all Indirect Tax incurred by that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01" w:right="339" w:bottom="1440" w:gutter="0" w:footer="0" w:header="0"/>
        </w:sectPr>
      </w:pPr>
    </w:p>
    <w:bookmarkStart w:id="150" w:name="page151"/>
    <w:bookmarkEnd w:id="150"/>
    <w:p>
      <w:pPr>
        <w:jc w:val="both"/>
        <w:spacing w:after="0" w:line="268" w:lineRule="auto"/>
        <w:rPr>
          <w:sz w:val="20"/>
          <w:szCs w:val="20"/>
          <w:color w:val="auto"/>
        </w:rPr>
      </w:pPr>
      <w:r>
        <w:rPr>
          <w:rFonts w:ascii="Arial" w:cs="Arial" w:eastAsia="Arial" w:hAnsi="Arial"/>
          <w:sz w:val="19"/>
          <w:szCs w:val="19"/>
          <w:color w:val="auto"/>
        </w:rPr>
        <w:t>Issuing Bank or Lender in respect of the costs or expenses save to the extent that that Administrative Agent, Issuing Bank or Lender is entitled to repayment or credit in respect of the Indirect Tax. The Administrative Agent, Issuing Bank or Lender (as the case may be) will promptly provide to the Loan Party a tax invoice complying with the relevant law relating to that Indirect Tax.</w:t>
      </w:r>
    </w:p>
    <w:p>
      <w:pPr>
        <w:spacing w:after="0" w:line="132" w:lineRule="exact"/>
        <w:rPr>
          <w:sz w:val="20"/>
          <w:szCs w:val="20"/>
          <w:color w:val="auto"/>
        </w:rPr>
      </w:pPr>
    </w:p>
    <w:p>
      <w:pPr>
        <w:jc w:val="both"/>
        <w:ind w:firstLine="656"/>
        <w:spacing w:after="0" w:line="223" w:lineRule="auto"/>
        <w:tabs>
          <w:tab w:leader="none" w:pos="1134"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For purposes of this Section, the term “Lender” includes any Issuing Bank and the term applicable law includes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FATCA.</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tabs>
          <w:tab w:leader="none" w:pos="11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7"/>
          <w:szCs w:val="17"/>
          <w:color w:val="auto"/>
        </w:rPr>
        <w:t>Except with respect to principal of and interest on Loans denominated in an Alternative</w:t>
      </w:r>
      <w:r>
        <w:rPr>
          <w:rFonts w:ascii="Arial" w:cs="Arial" w:eastAsia="Arial" w:hAnsi="Arial"/>
          <w:sz w:val="19"/>
          <w:szCs w:val="19"/>
          <w:color w:val="auto"/>
        </w:rPr>
        <w:t xml:space="preserve"> Currency, the Borrower shall make each payment required to be made by it hereunder (whether of principal, interest, fees or reimbursement of LC Disbursements, or of amounts payable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or otherwise) in Dollars prior to 12:00 noon, Local Time, on the date when due and (ii) all payments with respect to principal and interest on Loans denominated in an Alternative Currency shall be made in such Alternative Currency not later than the Local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(i) in the case of payments denominated in Dollars, at its Principal Office and (ii) in the case of payments denominated in an Alternative Currency, at its Alternative Currency Payment Office for such Alternative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payments pursuant to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and all other payments hereunder and under each other Loan Document shall be made in Dollars. Notwithstanding the foregoing provisions of this Section, if, after the making of any Loan or LC Disbursement in any Alternative Currency, currency control or exchange regulations are imposed in the country which issues such Alternative Currency with the result that such Alternative Currency no longer exists or the Borrower is not able to make payment to the Administrative Agent for the account of the Lenders in such Alternative Currency, then all payments to be made by the Borrower hereunder in such Alternative Currency shall instead be made when due in a currency that replaced such Alternative Currency or, if no such replacement currency exists,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372" w:lineRule="exact"/>
        <w:rPr>
          <w:rFonts w:ascii="Arial" w:cs="Arial" w:eastAsia="Arial" w:hAnsi="Arial"/>
          <w:sz w:val="19"/>
          <w:szCs w:val="19"/>
          <w:color w:val="auto"/>
        </w:rPr>
      </w:pPr>
    </w:p>
    <w:p>
      <w:pPr>
        <w:jc w:val="both"/>
        <w:ind w:firstLine="656"/>
        <w:spacing w:after="0" w:line="268" w:lineRule="auto"/>
        <w:tabs>
          <w:tab w:leader="none" w:pos="1121"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at any time insufficient funds are received by and available to the Administrative Agent to pay fully all amounts of principal, unreimbursed LC Disbursements, interest and fees then due hereunder, such funds shall (subject to the provisions of </w:t>
      </w:r>
      <w:r>
        <w:rPr>
          <w:rFonts w:ascii="Arial" w:cs="Arial" w:eastAsia="Arial" w:hAnsi="Arial"/>
          <w:sz w:val="19"/>
          <w:szCs w:val="19"/>
          <w:u w:val="single" w:color="auto"/>
          <w:color w:val="auto"/>
        </w:rPr>
        <w:t>Section 10.21</w:t>
      </w:r>
      <w:r>
        <w:rPr>
          <w:rFonts w:ascii="Arial" w:cs="Arial" w:eastAsia="Arial" w:hAnsi="Arial"/>
          <w:sz w:val="19"/>
          <w:szCs w:val="19"/>
          <w:color w:val="auto"/>
        </w:rPr>
        <w:t>) be applied (i) first, towards payment of interest and fees then due hereunder, ratably among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01" w:right="339" w:bottom="1440" w:gutter="0" w:footer="0" w:header="0"/>
        </w:sectPr>
      </w:pPr>
    </w:p>
    <w:bookmarkStart w:id="151" w:name="page152"/>
    <w:bookmarkEnd w:id="151"/>
    <w:p>
      <w:pPr>
        <w:jc w:val="both"/>
        <w:spacing w:after="0" w:line="268" w:lineRule="auto"/>
        <w:rPr>
          <w:sz w:val="20"/>
          <w:szCs w:val="20"/>
          <w:color w:val="auto"/>
        </w:rPr>
      </w:pPr>
      <w:r>
        <w:rPr>
          <w:rFonts w:ascii="Arial" w:cs="Arial" w:eastAsia="Arial" w:hAnsi="Arial"/>
          <w:sz w:val="19"/>
          <w:szCs w:val="19"/>
          <w:color w:val="auto"/>
        </w:rPr>
        <w:t>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32" w:lineRule="exact"/>
        <w:rPr>
          <w:sz w:val="20"/>
          <w:szCs w:val="20"/>
          <w:color w:val="auto"/>
        </w:rPr>
      </w:pPr>
    </w:p>
    <w:p>
      <w:pPr>
        <w:jc w:val="both"/>
        <w:ind w:firstLine="656"/>
        <w:spacing w:after="0" w:line="241" w:lineRule="auto"/>
        <w:tabs>
          <w:tab w:leader="none" w:pos="1138"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if 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8" w:lineRule="exact"/>
        <w:rPr>
          <w:rFonts w:ascii="Arial" w:cs="Arial" w:eastAsia="Arial" w:hAnsi="Arial"/>
          <w:sz w:val="19"/>
          <w:szCs w:val="19"/>
          <w:color w:val="auto"/>
        </w:rPr>
      </w:pPr>
    </w:p>
    <w:p>
      <w:pPr>
        <w:jc w:val="both"/>
        <w:ind w:firstLine="656"/>
        <w:spacing w:after="0" w:line="244" w:lineRule="auto"/>
        <w:tabs>
          <w:tab w:leader="none" w:pos="1248" w:val="left"/>
        </w:tabs>
        <w:numPr>
          <w:ilvl w:val="1"/>
          <w:numId w:val="79"/>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Lenders or the applicable Issuing Bank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0" w:lineRule="exact"/>
        <w:rPr>
          <w:rFonts w:ascii="Arial" w:cs="Arial" w:eastAsia="Arial" w:hAnsi="Arial"/>
          <w:sz w:val="19"/>
          <w:szCs w:val="19"/>
          <w:color w:val="auto"/>
        </w:rPr>
      </w:pPr>
    </w:p>
    <w:p>
      <w:pPr>
        <w:ind w:left="1120" w:hanging="464"/>
        <w:spacing w:after="0"/>
        <w:tabs>
          <w:tab w:leader="none" w:pos="1120" w:val="left"/>
        </w:tabs>
        <w:numPr>
          <w:ilvl w:val="1"/>
          <w:numId w:val="79"/>
        </w:numPr>
        <w:rPr>
          <w:rFonts w:ascii="Arial" w:cs="Arial" w:eastAsia="Arial" w:hAnsi="Arial"/>
          <w:sz w:val="19"/>
          <w:szCs w:val="19"/>
          <w:color w:val="auto"/>
        </w:rPr>
      </w:pPr>
      <w:r>
        <w:rPr>
          <w:rFonts w:ascii="Arial" w:cs="Arial" w:eastAsia="Arial" w:hAnsi="Arial"/>
          <w:sz w:val="19"/>
          <w:szCs w:val="19"/>
          <w:color w:val="auto"/>
        </w:rPr>
        <w:t xml:space="preserve">If any Lender shall fail to make any payment required to be made by it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paragraph (d) or</w:t>
      </w:r>
    </w:p>
    <w:p>
      <w:pPr>
        <w:spacing w:after="0" w:line="15" w:lineRule="exact"/>
        <w:rPr>
          <w:rFonts w:ascii="Arial" w:cs="Arial" w:eastAsia="Arial" w:hAnsi="Arial"/>
          <w:sz w:val="19"/>
          <w:szCs w:val="19"/>
          <w:color w:val="auto"/>
        </w:rPr>
      </w:pPr>
    </w:p>
    <w:p>
      <w:pPr>
        <w:jc w:val="both"/>
        <w:ind w:firstLine="8"/>
        <w:spacing w:after="0" w:line="228" w:lineRule="auto"/>
        <w:tabs>
          <w:tab w:leader="none" w:pos="313"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of </w:t>
      </w:r>
      <w:r>
        <w:rPr>
          <w:rFonts w:ascii="Arial" w:cs="Arial" w:eastAsia="Arial" w:hAnsi="Arial"/>
          <w:sz w:val="21"/>
          <w:szCs w:val="21"/>
          <w:u w:val="single" w:color="auto"/>
          <w:color w:val="auto"/>
        </w:rPr>
        <w:t>Section 2.19</w:t>
      </w:r>
      <w:r>
        <w:rPr>
          <w:rFonts w:ascii="Arial" w:cs="Arial" w:eastAsia="Arial" w:hAnsi="Arial"/>
          <w:sz w:val="21"/>
          <w:szCs w:val="21"/>
          <w:color w:val="auto"/>
        </w:rPr>
        <w:t>,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3" w:lineRule="auto"/>
        <w:tabs>
          <w:tab w:leader="none" w:pos="1111"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If any Lender requests compensation under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or if the Borrower is required to pay any additional amount to any Lender or any Governmental Authority for the account of any Lender pursuant to </w:t>
      </w:r>
      <w:r>
        <w:rPr>
          <w:rFonts w:ascii="Arial" w:cs="Arial" w:eastAsia="Arial" w:hAnsi="Arial"/>
          <w:sz w:val="22"/>
          <w:szCs w:val="22"/>
          <w:u w:val="single" w:color="auto"/>
          <w:color w:val="auto"/>
        </w:rPr>
        <w:t>Section 2.14</w:t>
      </w:r>
      <w:r>
        <w:rPr>
          <w:rFonts w:ascii="Arial" w:cs="Arial" w:eastAsia="Arial" w:hAnsi="Arial"/>
          <w:sz w:val="22"/>
          <w:szCs w:val="22"/>
          <w:color w:val="auto"/>
        </w:rPr>
        <w:t>, then such Lender shall use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01" w:right="339" w:bottom="1440" w:gutter="0" w:footer="0" w:header="0"/>
        </w:sectPr>
      </w:pPr>
    </w:p>
    <w:bookmarkStart w:id="152" w:name="page153"/>
    <w:bookmarkEnd w:id="152"/>
    <w:p>
      <w:pPr>
        <w:jc w:val="both"/>
        <w:spacing w:after="0" w:line="214" w:lineRule="auto"/>
        <w:rPr>
          <w:sz w:val="20"/>
          <w:szCs w:val="20"/>
          <w:color w:val="auto"/>
        </w:rPr>
      </w:pPr>
      <w:r>
        <w:rPr>
          <w:rFonts w:ascii="Arial" w:cs="Arial" w:eastAsia="Arial" w:hAnsi="Arial"/>
          <w:sz w:val="22"/>
          <w:szCs w:val="22"/>
          <w:color w:val="auto"/>
        </w:rPr>
        <w:t xml:space="preserve">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2.14</w:t>
      </w:r>
      <w:r>
        <w:rPr>
          <w:rFonts w:ascii="Arial" w:cs="Arial" w:eastAsia="Arial" w:hAnsi="Arial"/>
          <w:sz w:val="22"/>
          <w:szCs w:val="22"/>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9" w:lineRule="exact"/>
        <w:rPr>
          <w:sz w:val="20"/>
          <w:szCs w:val="20"/>
          <w:color w:val="auto"/>
        </w:rPr>
      </w:pPr>
    </w:p>
    <w:p>
      <w:pPr>
        <w:jc w:val="both"/>
        <w:ind w:firstLine="656"/>
        <w:spacing w:after="0"/>
        <w:tabs>
          <w:tab w:leader="none" w:pos="1225"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(ii)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(iii)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all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and under the other Loan Documents, from the assignee (to the extent of such outstanding principal and accrued interest and fees so assigned) or the Borrower (in the case of all other amounts so assigned), (iii) in the case of any such assignment resulting from a claim for compensation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 exercises its rights pursuant to this clause (b) with respect to all Non-Consenting Lenders relating to the applicable amendment, waiver or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event such Lender shall have received payment of the amount referred to in clause (ii) above, such Lender shall be deemed to have so assigned and delegated all its interests, rights and obligations under this Agreement and the other Loan Documents pursuant to the terms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 Lender shall not be required to make any such assignment or delegation if, prior thereto, as a result of a waiver by such Lender or otherwise, the circumstances entitling the Borrower to require such assignment and delegation cease to apply.</w:t>
      </w:r>
    </w:p>
    <w:p>
      <w:pPr>
        <w:spacing w:after="0" w:line="3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Defaulting Lenders/Subordinated Lender</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47" w:lineRule="auto"/>
        <w:tabs>
          <w:tab w:leader="none" w:pos="1138" w:val="left"/>
        </w:tabs>
        <w:numPr>
          <w:ilvl w:val="0"/>
          <w:numId w:val="83"/>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50" w:lineRule="exact"/>
        <w:rPr>
          <w:rFonts w:ascii="Arial" w:cs="Arial" w:eastAsia="Arial" w:hAnsi="Arial"/>
          <w:sz w:val="21"/>
          <w:szCs w:val="21"/>
          <w:color w:val="auto"/>
        </w:rPr>
      </w:pPr>
    </w:p>
    <w:p>
      <w:pPr>
        <w:ind w:firstLine="1304"/>
        <w:spacing w:after="0" w:line="232" w:lineRule="auto"/>
        <w:tabs>
          <w:tab w:leader="none" w:pos="1763"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04"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or otherwise) or received by the Administrative Agent from a Defaulting Lender pursuant to </w:t>
      </w:r>
      <w:r>
        <w:rPr>
          <w:rFonts w:ascii="Arial" w:cs="Arial" w:eastAsia="Arial" w:hAnsi="Arial"/>
          <w:sz w:val="22"/>
          <w:szCs w:val="22"/>
          <w:u w:val="single" w:color="auto"/>
          <w:color w:val="auto"/>
        </w:rPr>
        <w:t>Section 10.08</w:t>
      </w:r>
      <w:r>
        <w:rPr>
          <w:rFonts w:ascii="Arial" w:cs="Arial" w:eastAsia="Arial" w:hAnsi="Arial"/>
          <w:sz w:val="22"/>
          <w:szCs w:val="22"/>
          <w:color w:val="auto"/>
        </w:rPr>
        <w:t xml:space="preserve"> shall be applied at such time or times as may be determined by the Administrative Agent as follows: </w:t>
      </w:r>
      <w:r>
        <w:rPr>
          <w:rFonts w:ascii="Arial" w:cs="Arial" w:eastAsia="Arial" w:hAnsi="Arial"/>
          <w:sz w:val="22"/>
          <w:szCs w:val="22"/>
          <w:i w:val="1"/>
          <w:iCs w:val="1"/>
          <w:color w:val="auto"/>
        </w:rPr>
        <w:t>first</w:t>
      </w:r>
      <w:r>
        <w:rPr>
          <w:rFonts w:ascii="Arial" w:cs="Arial" w:eastAsia="Arial" w:hAnsi="Arial"/>
          <w:sz w:val="22"/>
          <w:szCs w:val="22"/>
          <w:color w:val="auto"/>
        </w:rPr>
        <w:t xml:space="preserve">, to the payment of any amounts owing by such Defaulting Lender to the Administrative Agent hereunder; </w:t>
      </w:r>
      <w:r>
        <w:rPr>
          <w:rFonts w:ascii="Arial" w:cs="Arial" w:eastAsia="Arial" w:hAnsi="Arial"/>
          <w:sz w:val="22"/>
          <w:szCs w:val="22"/>
          <w:i w:val="1"/>
          <w:iCs w:val="1"/>
          <w:color w:val="auto"/>
        </w:rPr>
        <w:t>second</w:t>
      </w:r>
      <w:r>
        <w:rPr>
          <w:rFonts w:ascii="Arial" w:cs="Arial" w:eastAsia="Arial" w:hAnsi="Arial"/>
          <w:sz w:val="22"/>
          <w:szCs w:val="22"/>
          <w:color w:val="auto"/>
        </w:rPr>
        <w: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01" w:right="339" w:bottom="1440" w:gutter="0" w:footer="0" w:header="0"/>
        </w:sectPr>
      </w:pPr>
    </w:p>
    <w:bookmarkStart w:id="153" w:name="page154"/>
    <w:bookmarkEnd w:id="153"/>
    <w:p>
      <w:pPr>
        <w:jc w:val="both"/>
        <w:spacing w:after="0"/>
        <w:rPr>
          <w:sz w:val="20"/>
          <w:szCs w:val="20"/>
          <w:color w:val="auto"/>
        </w:rPr>
      </w:pPr>
      <w:r>
        <w:rPr>
          <w:rFonts w:ascii="Arial" w:cs="Arial" w:eastAsia="Arial" w:hAnsi="Arial"/>
          <w:sz w:val="19"/>
          <w:szCs w:val="19"/>
          <w:color w:val="auto"/>
        </w:rPr>
        <w:t xml:space="preserve">payment on a pro rata basis of any amounts owing by such Defaulting Lender to the Issuing Banks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each Issuing Bank’s Fronting Exposure with respect to such Defaulting Lender in accordance with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as the Borrower may request (so long as no Default or Event of Default exists), to the funding of any Loan in respect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non-interest bearing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to the payment of any amounts owing to the Lenders or the Issuing Banks as a result of any judgment of a court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competent jurisdiction obtained by any Lender or any Issuing Bank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participations in Letters of Credit are held by the Lenders pro rata in accordance with the Commitments without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2.17(a)(ii)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375" w:lineRule="exact"/>
        <w:rPr>
          <w:sz w:val="20"/>
          <w:szCs w:val="20"/>
          <w:color w:val="auto"/>
        </w:rPr>
      </w:pPr>
    </w:p>
    <w:p>
      <w:pPr>
        <w:jc w:val="both"/>
        <w:ind w:firstLine="1304"/>
        <w:spacing w:after="0" w:line="243" w:lineRule="auto"/>
        <w:tabs>
          <w:tab w:leader="none" w:pos="190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 No Defaulting Lender shall be entitled to receive any commitment fee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or participation fees pursuant to </w:t>
      </w:r>
      <w:r>
        <w:rPr>
          <w:rFonts w:ascii="Arial" w:cs="Arial" w:eastAsia="Arial" w:hAnsi="Arial"/>
          <w:sz w:val="19"/>
          <w:szCs w:val="19"/>
          <w:u w:val="single" w:color="auto"/>
          <w:color w:val="auto"/>
        </w:rPr>
        <w:t>Section 2.09(b)(i)</w:t>
      </w:r>
      <w:r>
        <w:rPr>
          <w:rFonts w:ascii="Arial" w:cs="Arial" w:eastAsia="Arial" w:hAnsi="Arial"/>
          <w:sz w:val="19"/>
          <w:szCs w:val="19"/>
          <w:color w:val="auto"/>
        </w:rPr>
        <w:t xml:space="preserve"> for any period during which that Lender is a Defaulting Lender (and the Borrower shall not be required to pay any such fee that otherwise would have been required to have been paid to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Defaulting Lender shall be entitled to receive participation fees pursuant to </w:t>
      </w:r>
      <w:r>
        <w:rPr>
          <w:rFonts w:ascii="Arial" w:cs="Arial" w:eastAsia="Arial" w:hAnsi="Arial"/>
          <w:sz w:val="19"/>
          <w:szCs w:val="19"/>
          <w:u w:val="single" w:color="auto"/>
          <w:color w:val="auto"/>
        </w:rPr>
        <w:t>Section 2.09(b)(i)</w:t>
      </w:r>
      <w:r>
        <w:rPr>
          <w:rFonts w:ascii="Arial" w:cs="Arial" w:eastAsia="Arial" w:hAnsi="Arial"/>
          <w:sz w:val="19"/>
          <w:szCs w:val="19"/>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9"/>
          <w:szCs w:val="19"/>
          <w:u w:val="single" w:color="auto"/>
          <w:color w:val="auto"/>
        </w:rPr>
        <w:t>Section 2.17(d)</w:t>
      </w:r>
      <w:r>
        <w:rPr>
          <w:rFonts w:ascii="Arial" w:cs="Arial" w:eastAsia="Arial" w:hAnsi="Arial"/>
          <w:sz w:val="19"/>
          <w:szCs w:val="19"/>
          <w:color w:val="auto"/>
        </w:rPr>
        <w:t>; and (B) with respect to any fees not required to be paid to any Defaulting Lender pursuant to clause (A) above, the Borrower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58" w:lineRule="exact"/>
        <w:rPr>
          <w:rFonts w:ascii="Arial" w:cs="Arial" w:eastAsia="Arial" w:hAnsi="Arial"/>
          <w:sz w:val="19"/>
          <w:szCs w:val="19"/>
          <w:color w:val="auto"/>
        </w:rPr>
      </w:pPr>
    </w:p>
    <w:p>
      <w:pPr>
        <w:jc w:val="both"/>
        <w:ind w:firstLine="1304"/>
        <w:spacing w:after="0" w:line="257" w:lineRule="auto"/>
        <w:tabs>
          <w:tab w:leader="none" w:pos="1899" w:val="left"/>
        </w:tabs>
        <w:numPr>
          <w:ilvl w:val="0"/>
          <w:numId w:val="84"/>
        </w:numPr>
        <w:rPr>
          <w:rFonts w:ascii="Arial" w:cs="Arial" w:eastAsia="Arial" w:hAnsi="Arial"/>
          <w:sz w:val="19"/>
          <w:szCs w:val="19"/>
          <w:color w:val="auto"/>
        </w:rPr>
      </w:pPr>
      <w:r>
        <w:rPr>
          <w:rFonts w:ascii="Arial" w:cs="Arial" w:eastAsia="Arial" w:hAnsi="Arial"/>
          <w:sz w:val="19"/>
          <w:szCs w:val="19"/>
          <w:color w:val="auto"/>
        </w:rPr>
        <w:t>So long as no Event of Default shall have occurred and be continuing, all or any part of such Defaulting Lender’s participation in Letters of Credit shall be reallocated among the Non-Defaulting Lenders in accordance with their respective Applicable Percentages (calculated without regard to such Defaulting Lender’s Commitment) but only to the extent that such reallocation does not cause the Dollar Equivalent of the aggregate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01" w:right="339" w:bottom="1440" w:gutter="0" w:footer="0" w:header="0"/>
        </w:sectPr>
      </w:pPr>
    </w:p>
    <w:bookmarkStart w:id="154" w:name="page155"/>
    <w:bookmarkEnd w:id="154"/>
    <w:p>
      <w:pPr>
        <w:jc w:val="both"/>
        <w:spacing w:after="0" w:line="218" w:lineRule="auto"/>
        <w:rPr>
          <w:sz w:val="20"/>
          <w:szCs w:val="20"/>
          <w:color w:val="auto"/>
        </w:rPr>
      </w:pPr>
      <w:r>
        <w:rPr>
          <w:rFonts w:ascii="Arial" w:cs="Arial" w:eastAsia="Arial" w:hAnsi="Arial"/>
          <w:sz w:val="22"/>
          <w:szCs w:val="22"/>
          <w:color w:val="auto"/>
        </w:rPr>
        <w:t xml:space="preserve">Exposure of any Non-Defaulting Lender to exceed such Non-Defaulting Lender’s Commitment. Subject to </w:t>
      </w:r>
      <w:r>
        <w:rPr>
          <w:rFonts w:ascii="Arial" w:cs="Arial" w:eastAsia="Arial" w:hAnsi="Arial"/>
          <w:sz w:val="22"/>
          <w:szCs w:val="22"/>
          <w:u w:val="single" w:color="auto"/>
          <w:color w:val="auto"/>
        </w:rPr>
        <w:t>Section 10.19</w:t>
      </w:r>
      <w:r>
        <w:rPr>
          <w:rFonts w:ascii="Arial" w:cs="Arial" w:eastAsia="Arial" w:hAnsi="Arial"/>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1" w:lineRule="exact"/>
        <w:rPr>
          <w:sz w:val="20"/>
          <w:szCs w:val="20"/>
          <w:color w:val="auto"/>
        </w:rPr>
      </w:pPr>
    </w:p>
    <w:p>
      <w:pPr>
        <w:jc w:val="both"/>
        <w:ind w:firstLine="1304"/>
        <w:spacing w:after="0" w:line="223" w:lineRule="auto"/>
        <w:tabs>
          <w:tab w:leader="none" w:pos="1765"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If the reallocation described in clause (iv) above cannot, or can only partially, be effected, the Borrower shall, without prejudice to any right or remedy available to it hereunder or under law, Cash Collateralize each Issuing Bank’s Fronting Exposure in accordance with the procedures set forth in </w:t>
      </w:r>
      <w:r>
        <w:rPr>
          <w:rFonts w:ascii="Arial" w:cs="Arial" w:eastAsia="Arial" w:hAnsi="Arial"/>
          <w:sz w:val="22"/>
          <w:szCs w:val="22"/>
          <w:u w:val="single" w:color="auto"/>
          <w:color w:val="auto"/>
        </w:rPr>
        <w:t>Section 2.17(d)</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43" w:lineRule="auto"/>
        <w:tabs>
          <w:tab w:leader="none" w:pos="1231"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If the Borrower,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respective Applicable Percentages (without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8" w:lineRule="exact"/>
        <w:rPr>
          <w:rFonts w:ascii="Arial" w:cs="Arial" w:eastAsia="Arial" w:hAnsi="Arial"/>
          <w:sz w:val="19"/>
          <w:szCs w:val="19"/>
          <w:color w:val="auto"/>
        </w:rPr>
      </w:pPr>
    </w:p>
    <w:p>
      <w:pPr>
        <w:jc w:val="both"/>
        <w:ind w:firstLine="656"/>
        <w:spacing w:after="0" w:line="252" w:lineRule="auto"/>
        <w:tabs>
          <w:tab w:leader="none" w:pos="1177"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So long as any Lender is a Defaulting Lender, each Issuing Bank shall not be required to issue, extend, renew or increase any Letter of Credit unless it is satisfied that the participations in any then existing Letters of Credit as well as the new, extended, renewed or increased Letter of Credit has been or will be fully allocated among the Non-Defaulting Lenders in a manner consistent with clause (a)(iv) above and such Defaulting Lender shall not participate therein except to the extent such Defaulting Lender’s participation has been or will be fully Cash Collateralized in accordance with </w:t>
      </w:r>
      <w:r>
        <w:rPr>
          <w:rFonts w:ascii="Arial" w:cs="Arial" w:eastAsia="Arial" w:hAnsi="Arial"/>
          <w:sz w:val="19"/>
          <w:szCs w:val="19"/>
          <w:u w:val="single" w:color="auto"/>
          <w:color w:val="auto"/>
        </w:rPr>
        <w:t>Section 2.17(d)</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jc w:val="both"/>
        <w:ind w:firstLine="656"/>
        <w:spacing w:after="0" w:line="257" w:lineRule="auto"/>
        <w:tabs>
          <w:tab w:leader="none" w:pos="1143"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At any time that there shall exist a Defaulting Lender, within one Business Day following the written request of the Administrative Agent or any Issuing Bank (with a copy to the Administrative Agent), the Borrower shall Cash Collateralize such Issuing Bank’s Fronting Exposure with respect to such Defaulting Lender (determined after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and any Cash Collateral provided by such Defaulting Lender) in an amount not less than the Minimum Collateral Amount.</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723"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Borrower, and to the extent provided by any Defaulting Lender, such Defaulting Lender, hereby grants to the Administrative Agent, for the benefit of the Issuing Banks, and agrees to maintain, a first priority security interest in all such Cash Collateral as security for the Defaulting Lenders’ obligation to fund participations in respect of Letters of Credit, to be applied pursuant to clause (ii) below. If at any time the Administrative Agent determines that Cash Collateral is subject to any right or claim of any Person other than the Administrative Agent and the Issuing Banks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01" w:right="339" w:bottom="1440" w:gutter="0" w:footer="0" w:header="0"/>
        </w:sectPr>
      </w:pPr>
    </w:p>
    <w:bookmarkStart w:id="155" w:name="page156"/>
    <w:bookmarkEnd w:id="155"/>
    <w:p>
      <w:pPr>
        <w:jc w:val="both"/>
        <w:ind w:firstLine="1304"/>
        <w:spacing w:after="0" w:line="216" w:lineRule="auto"/>
        <w:tabs>
          <w:tab w:leader="none" w:pos="1830"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Cash Collateral provided under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57" w:lineRule="exact"/>
        <w:rPr>
          <w:rFonts w:ascii="Arial" w:cs="Arial" w:eastAsia="Arial" w:hAnsi="Arial"/>
          <w:sz w:val="22"/>
          <w:szCs w:val="22"/>
          <w:color w:val="auto"/>
        </w:rPr>
      </w:pPr>
    </w:p>
    <w:p>
      <w:pPr>
        <w:jc w:val="both"/>
        <w:ind w:firstLine="1304"/>
        <w:spacing w:after="0" w:line="249" w:lineRule="auto"/>
        <w:tabs>
          <w:tab w:leader="none" w:pos="2007"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Cash Collateral (or the appropriate portion thereof) provided to reduce each Issuing Bank’s Fronting Exposure shall no longer be required to be held as Cash Collateral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following (i) the elimination of the applicable Fronting Exposure (including by the termination of Defaulting Lender status of the applicable Lender) or (ii) the determination by the Administrative Agent and such Issuing Bank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other provisions of this </w:t>
      </w:r>
      <w:r>
        <w:rPr>
          <w:rFonts w:ascii="Arial" w:cs="Arial" w:eastAsia="Arial" w:hAnsi="Arial"/>
          <w:sz w:val="19"/>
          <w:szCs w:val="19"/>
          <w:u w:val="single" w:color="auto"/>
          <w:color w:val="auto"/>
        </w:rPr>
        <w:t>Section 2.17</w:t>
      </w:r>
      <w:r>
        <w:rPr>
          <w:rFonts w:ascii="Arial" w:cs="Arial" w:eastAsia="Arial" w:hAnsi="Arial"/>
          <w:sz w:val="19"/>
          <w:szCs w:val="19"/>
          <w:color w:val="auto"/>
        </w:rPr>
        <w:t>, the Person providing Cash Collateral and such Issuing Bank may agree that Cash Collateral shall be held to support future anticipated Fronting Exposure or other obligations.</w:t>
      </w:r>
    </w:p>
    <w:p>
      <w:pPr>
        <w:spacing w:after="0" w:line="151" w:lineRule="exact"/>
        <w:rPr>
          <w:rFonts w:ascii="Arial" w:cs="Arial" w:eastAsia="Arial" w:hAnsi="Arial"/>
          <w:sz w:val="19"/>
          <w:szCs w:val="19"/>
          <w:color w:val="auto"/>
        </w:rPr>
      </w:pPr>
    </w:p>
    <w:p>
      <w:pPr>
        <w:jc w:val="both"/>
        <w:ind w:firstLine="656"/>
        <w:spacing w:after="0" w:line="221" w:lineRule="auto"/>
        <w:tabs>
          <w:tab w:leader="none" w:pos="1131"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Each Subordinated Lender agrees that to the extent and for so long as its Commitment, participation in any Loan or subparticipation or other agreement or arrangement relating to a Commitment, including, without limitation, following a Debt Purchase Transaction, could result in the subordination of claims of any other Lender under the Loans pursuant to any law regarding the subordination of shareholder loans or prejudice or adversely affect the Collateral or guarantee and indemnity pursuant to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(or their enforceability) in any way, the relevant Subordinated Lender shall not be a secured or guaranteed party (however described) under and for the purposes of any Loan Document and no amount owing to it under any Loan Document shall be secured by the Security Documents (unless the subordination ceases to apply or subsequently or at the same time applies to the Lenders generally (other than where such subordination of the Lenders generally is caused by a Debt Purchase Transaction by a Subordinated Lender)).</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Incremental Facility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tabs>
          <w:tab w:leader="none" w:pos="114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Borrower may by written notice to the Administrative Agent elect to request prior to the Maturity Date, one or more increases to the existing Commitments (any such increase, the “</w:t>
      </w:r>
      <w:r>
        <w:rPr>
          <w:rFonts w:ascii="Arial" w:cs="Arial" w:eastAsia="Arial" w:hAnsi="Arial"/>
          <w:sz w:val="19"/>
          <w:szCs w:val="19"/>
          <w:b w:val="1"/>
          <w:bCs w:val="1"/>
          <w:color w:val="auto"/>
        </w:rPr>
        <w:t>New Commitments</w:t>
      </w:r>
      <w:r>
        <w:rPr>
          <w:rFonts w:ascii="Arial" w:cs="Arial" w:eastAsia="Arial" w:hAnsi="Arial"/>
          <w:sz w:val="19"/>
          <w:szCs w:val="19"/>
          <w:color w:val="auto"/>
        </w:rPr>
        <w:t>”), in Dollars or an Alternative Currency, by an amount not in excess of the Incremental Amount in the aggregate and not less than $5,000,000 individually (or such lesser amount which shall be approved by the Administrative Agent or such lesser amount that shall constitute the difference between the Incremental Amount and all such New Commitments obtained prior to such date), and integral multiples of $1,000,000 in excess of that amount. Each such notice shall specify (A) the date (each, an “</w:t>
      </w:r>
      <w:r>
        <w:rPr>
          <w:rFonts w:ascii="Arial" w:cs="Arial" w:eastAsia="Arial" w:hAnsi="Arial"/>
          <w:sz w:val="19"/>
          <w:szCs w:val="19"/>
          <w:b w:val="1"/>
          <w:bCs w:val="1"/>
          <w:color w:val="auto"/>
        </w:rPr>
        <w:t>Increased Amount Date</w:t>
      </w:r>
      <w:r>
        <w:rPr>
          <w:rFonts w:ascii="Arial" w:cs="Arial" w:eastAsia="Arial" w:hAnsi="Arial"/>
          <w:sz w:val="19"/>
          <w:szCs w:val="19"/>
          <w:color w:val="auto"/>
        </w:rPr>
        <w:t xml:space="preserve">”) on which the Borrower proposes that the New Commitments shall be effective, which shall be a date not less than 5 Business Days after the date on which such notice is delivered to the Administrative Agent (unless otherwise agreed by the Administrative Agent in its sole discretion), (B) the proposed currency denomination and the requested amount of the New Commitment, and (C) the identity of each Lender or other Person that is an eligible assignee under </w:t>
      </w:r>
      <w:r>
        <w:rPr>
          <w:rFonts w:ascii="Arial" w:cs="Arial" w:eastAsia="Arial" w:hAnsi="Arial"/>
          <w:sz w:val="19"/>
          <w:szCs w:val="19"/>
          <w:u w:val="single" w:color="auto"/>
          <w:color w:val="auto"/>
        </w:rPr>
        <w:t>Section 10.04(b)</w:t>
      </w:r>
      <w:r>
        <w:rPr>
          <w:rFonts w:ascii="Arial" w:cs="Arial" w:eastAsia="Arial" w:hAnsi="Arial"/>
          <w:sz w:val="19"/>
          <w:szCs w:val="19"/>
          <w:color w:val="auto"/>
        </w:rPr>
        <w:t>, subject to approval thereof by the Administrative Agent in the case of a Person that is not a Lender (such approval not to be unreasonably withheld or delayed) (each, a “</w:t>
      </w:r>
      <w:r>
        <w:rPr>
          <w:rFonts w:ascii="Arial" w:cs="Arial" w:eastAsia="Arial" w:hAnsi="Arial"/>
          <w:sz w:val="19"/>
          <w:szCs w:val="19"/>
          <w:b w:val="1"/>
          <w:bCs w:val="1"/>
          <w:color w:val="auto"/>
        </w:rPr>
        <w:t>New Lender</w:t>
      </w:r>
      <w:r>
        <w:rPr>
          <w:rFonts w:ascii="Arial" w:cs="Arial" w:eastAsia="Arial" w:hAnsi="Arial"/>
          <w:sz w:val="19"/>
          <w:szCs w:val="19"/>
          <w:color w:val="auto"/>
        </w:rPr>
        <w:t xml:space="preserve">”), to whom the Borrower proposes any portion of such New Commitments be allocated and the amounts of such allocations;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 approached to provide all or a portion of the New Commitments may elect or decline, in its sole discretion, to provide a New Commitment;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any Lender approached to provide all or a portion of the New Commitments and that does not respond in writing within 5 Business Days of receipt of such offer shall be deemed to have declined. Such New Commitments shall become effective as of such Increased Amount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on such Increased Amount Date before or after giving effect to such New Commitments, each of the conditions set forth in </w:t>
      </w:r>
      <w:r>
        <w:rPr>
          <w:rFonts w:ascii="Arial" w:cs="Arial" w:eastAsia="Arial" w:hAnsi="Arial"/>
          <w:sz w:val="19"/>
          <w:szCs w:val="19"/>
          <w:u w:val="single" w:color="auto"/>
          <w:color w:val="auto"/>
        </w:rPr>
        <w:t>Section 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01" w:right="339" w:bottom="1440" w:gutter="0" w:footer="0" w:header="0"/>
        </w:sectPr>
      </w:pPr>
    </w:p>
    <w:bookmarkStart w:id="156" w:name="page157"/>
    <w:bookmarkEnd w:id="156"/>
    <w:p>
      <w:pPr>
        <w:jc w:val="both"/>
        <w:spacing w:after="0" w:line="211" w:lineRule="auto"/>
        <w:rPr>
          <w:sz w:val="20"/>
          <w:szCs w:val="20"/>
          <w:color w:val="auto"/>
        </w:rPr>
      </w:pPr>
      <w:r>
        <w:rPr>
          <w:rFonts w:ascii="Arial" w:cs="Arial" w:eastAsia="Arial" w:hAnsi="Arial"/>
          <w:sz w:val="22"/>
          <w:szCs w:val="22"/>
          <w:color w:val="auto"/>
        </w:rPr>
        <w:t xml:space="preserve">shall be satisfied; (2) the New Commitments shall be effected pursuant to one or more Joinder Agreements executed and delivered by the Borrower, the New Lenders and the Administrative Agent, and each of which shall be recorded in the Register and each New Lender shall be subject to the requirements set forth in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(3) the Borrower shall make any payments required pursuant to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in connection with the New Commitments; and (4) except with respect to New Commitments in an aggregate amount of up to $10,000,000 with respect to which the Increased Amount Date occurs on or before December 31, 2021 (or such later date as the Administrative Agent may approve), the Borrower shall deliver or cause to be delivered any legal opinions or other documents reasonably requested by the Administrative Agent in connection with any such transaction.</w:t>
      </w:r>
    </w:p>
    <w:p>
      <w:pPr>
        <w:spacing w:after="0" w:line="165" w:lineRule="exact"/>
        <w:rPr>
          <w:sz w:val="20"/>
          <w:szCs w:val="20"/>
          <w:color w:val="auto"/>
        </w:rPr>
      </w:pPr>
    </w:p>
    <w:p>
      <w:pPr>
        <w:jc w:val="both"/>
        <w:ind w:firstLine="656"/>
        <w:spacing w:after="0" w:line="244" w:lineRule="auto"/>
        <w:tabs>
          <w:tab w:leader="none" w:pos="1158" w:val="left"/>
        </w:tabs>
        <w:numPr>
          <w:ilvl w:val="0"/>
          <w:numId w:val="90"/>
        </w:numPr>
        <w:rPr>
          <w:rFonts w:ascii="Arial" w:cs="Arial" w:eastAsia="Arial" w:hAnsi="Arial"/>
          <w:sz w:val="19"/>
          <w:szCs w:val="19"/>
          <w:color w:val="auto"/>
        </w:rPr>
      </w:pPr>
      <w:r>
        <w:rPr>
          <w:rFonts w:ascii="Arial" w:cs="Arial" w:eastAsia="Arial" w:hAnsi="Arial"/>
          <w:sz w:val="19"/>
          <w:szCs w:val="19"/>
          <w:color w:val="auto"/>
        </w:rPr>
        <w:t>On any Increased Amount Date on which New Commitments are effected, subject to the satisfaction (or waiver by the Required Lenders) of the foregoing terms and conditions, (i) each of the Lenders shall assign to each of the New Lenders, and each of the New Lenders shall purchase from each of the Lenders, at the principal amount thereof (together with accrued interest), such interests in the Loans, and participations in the Letters of Credit, in each case outstanding on such Increased Amount Date as shall be necessary in order that, after giving effect to all such assignments and purchases, such Loans and participations in such Letters of Credit will be held by existing Lenders and New Lenders ratably in accordance with their Commitments after giving effect to the addition of such New Commitments to the Commitments, (ii) each New Commitment shall be deemed for all purposes a Commitment and each Loan made thereunder (a “</w:t>
      </w:r>
      <w:r>
        <w:rPr>
          <w:rFonts w:ascii="Arial" w:cs="Arial" w:eastAsia="Arial" w:hAnsi="Arial"/>
          <w:sz w:val="19"/>
          <w:szCs w:val="19"/>
          <w:b w:val="1"/>
          <w:bCs w:val="1"/>
          <w:color w:val="auto"/>
        </w:rPr>
        <w:t>New Loan</w:t>
      </w:r>
      <w:r>
        <w:rPr>
          <w:rFonts w:ascii="Arial" w:cs="Arial" w:eastAsia="Arial" w:hAnsi="Arial"/>
          <w:sz w:val="19"/>
          <w:szCs w:val="19"/>
          <w:color w:val="auto"/>
        </w:rPr>
        <w:t>”) shall be deemed, for all purposes, a Loan and (iii) each New Lender shall become a Lender for all purposes hereunder.</w:t>
      </w:r>
    </w:p>
    <w:p>
      <w:pPr>
        <w:spacing w:after="0" w:line="160" w:lineRule="exact"/>
        <w:rPr>
          <w:rFonts w:ascii="Arial" w:cs="Arial" w:eastAsia="Arial" w:hAnsi="Arial"/>
          <w:sz w:val="19"/>
          <w:szCs w:val="19"/>
          <w:color w:val="auto"/>
        </w:rPr>
      </w:pPr>
    </w:p>
    <w:p>
      <w:pPr>
        <w:jc w:val="both"/>
        <w:ind w:firstLine="656"/>
        <w:spacing w:after="0" w:line="234" w:lineRule="auto"/>
        <w:tabs>
          <w:tab w:leader="none" w:pos="1187"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The Administrative Agent shall notify Lenders promptly upon receipt of the Borrower’s notice of each Increased Amount Date and in respect thereof (i) the New Commitments and the New Lenders, and (ii) the respective interests in such Lender’s Loans, in each case subject to the assignments contemplated by this </w:t>
      </w:r>
      <w:r>
        <w:rPr>
          <w:rFonts w:ascii="Arial" w:cs="Arial" w:eastAsia="Arial" w:hAnsi="Arial"/>
          <w:sz w:val="21"/>
          <w:szCs w:val="21"/>
          <w:u w:val="single" w:color="auto"/>
          <w:color w:val="auto"/>
        </w:rPr>
        <w:t>Section 2.18</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firstLine="656"/>
        <w:spacing w:after="0" w:line="252" w:lineRule="auto"/>
        <w:tabs>
          <w:tab w:leader="none" w:pos="13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terms and provisions (including pricing) of the New Loans shall be identical to the existing Loans. Notwithstanding anything in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to the contrary, each Joinder Agreement may, without the consent of any other Lenders, effect such amendments to this Agreement and the other Loan Documents as may be necessary or appropriate in the opinion of the Administrative Agent to effect the provision of this </w:t>
      </w:r>
      <w:r>
        <w:rPr>
          <w:rFonts w:ascii="Arial" w:cs="Arial" w:eastAsia="Arial" w:hAnsi="Arial"/>
          <w:sz w:val="19"/>
          <w:szCs w:val="19"/>
          <w:u w:val="single" w:color="auto"/>
          <w:color w:val="auto"/>
        </w:rPr>
        <w:t>Section 2.18</w:t>
      </w:r>
      <w:r>
        <w:rPr>
          <w:rFonts w:ascii="Arial" w:cs="Arial" w:eastAsia="Arial" w:hAnsi="Arial"/>
          <w:sz w:val="19"/>
          <w:szCs w:val="19"/>
          <w:color w:val="auto"/>
        </w:rPr>
        <w:t>, including, to the extent the New Commitments are incurred in an Alternative Currency, any amendments to reflect such Alternative Currency hereunder.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2.19</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3" w:lineRule="auto"/>
        <w:tabs>
          <w:tab w:leader="none" w:pos="112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conditions set forth herein, the Borrower may request the issuance of (and subject to the terms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 each Issuing Bank shall issue) Letters of Credit as the 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Notwithstanding anything herein to the contrary, (i) the Borrower shall not request, and no Issuing Bank shall issue, any Letter of Credit the proceeds of which would be made to any Person (A) to fund any activity or business of or with any Sanctioned Person, or in any country, region or territory, that at the time of such funding is a Sanctioned Country or (B) in any manner that would result in a violation of any Sanctions by any party to this Agreement, (ii) no Issuing Bank shall have any obligation hereunder to issue any Letter of Credit if the issuance of such Letter of Credit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01" w:right="339" w:bottom="1440" w:gutter="0" w:footer="0" w:header="0"/>
        </w:sectPr>
      </w:pPr>
    </w:p>
    <w:bookmarkStart w:id="157" w:name="page158"/>
    <w:bookmarkEnd w:id="157"/>
    <w:p>
      <w:pPr>
        <w:jc w:val="both"/>
        <w:spacing w:after="0" w:line="244" w:lineRule="auto"/>
        <w:rPr>
          <w:sz w:val="20"/>
          <w:szCs w:val="20"/>
          <w:color w:val="auto"/>
        </w:rPr>
      </w:pPr>
      <w:r>
        <w:rPr>
          <w:rFonts w:ascii="Arial" w:cs="Arial" w:eastAsia="Arial" w:hAnsi="Arial"/>
          <w:sz w:val="19"/>
          <w:szCs w:val="19"/>
          <w:color w:val="auto"/>
        </w:rPr>
        <w:t xml:space="preserve">violate one or more policies of such Issuing Bank now or hereafter in effect applicable to letters of credit generally, (iii) no Issuing Bank shall have any obligation hereunder to issue any Letter of Credit (1) if the aggregate LC Exposure with respect to all Letters of Credit issued by such Issuing Bank would exceed such Issuing Bank’s LC Commitment, (2) denominated in a currency other than Dollars or with respect to each Issuing Bank, any applicable Alternative Currency set forth adjacent to its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or otherwise consented to by such Issuing Bank or (3) unless it is a Standby Letter of Credit (or, with the consent of such Issuing Bank (in its sole discretion), a Commercial Letter of Credit) and (iv) the Borrower shall not request, and no Issuing Bank shall issue, any Letter of Credit if after giving effect to such issuance of a Letter of Credit, (1) the Dollar Equivalent of any Lender’s Revolving Credit Exposure would exceed such Lender’s Commitment or (2) the sum of the Dollar Equivalents of the total Revolving Credit Exposures of all Lenders would exceed the total Commitments of all Lenders.</w:t>
      </w:r>
    </w:p>
    <w:p>
      <w:pPr>
        <w:spacing w:after="0" w:line="161" w:lineRule="exact"/>
        <w:rPr>
          <w:sz w:val="20"/>
          <w:szCs w:val="20"/>
          <w:color w:val="auto"/>
        </w:rPr>
      </w:pPr>
    </w:p>
    <w:p>
      <w:pPr>
        <w:jc w:val="both"/>
        <w:ind w:firstLine="656"/>
        <w:spacing w:after="0"/>
        <w:tabs>
          <w:tab w:leader="none" w:pos="1213"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in connection with a Letter of Credit denominated in Dollars and five Business Days in connection with a Letter of Credit denominated in a currency other than Dollars) a written Letter of Credit Request in substantially the form of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attached hereto and signed by the Borrower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Dollar Equivalent of the LC Exposure shall not exceed the LC Sublimit, (ii) the sum of the Dollar Equivalents of the total Revolving Credit Exposures shall not exceed the total Commitments, (iii) the Dollar Equivalent of the LC Exposure of the applicable Issuing Bank shall not exceed the LC Sublimit applicable to such Issuing Bank and (iv) the Dollar Equivalent of the Revolving Credit Exposure of the applicable Issuing Bank shall not exceed the Commitment of such Issuing Bank.</w:t>
      </w:r>
    </w:p>
    <w:p>
      <w:pPr>
        <w:spacing w:after="0" w:line="168" w:lineRule="exact"/>
        <w:rPr>
          <w:rFonts w:ascii="Arial" w:cs="Arial" w:eastAsia="Arial" w:hAnsi="Arial"/>
          <w:sz w:val="19"/>
          <w:szCs w:val="19"/>
          <w:color w:val="auto"/>
        </w:rPr>
      </w:pPr>
    </w:p>
    <w:p>
      <w:pPr>
        <w:jc w:val="both"/>
        <w:ind w:firstLine="656"/>
        <w:spacing w:after="0" w:line="244" w:lineRule="auto"/>
        <w:tabs>
          <w:tab w:leader="none" w:pos="112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Currency; Expiration Date</w:t>
      </w:r>
      <w:r>
        <w:rPr>
          <w:rFonts w:ascii="Arial" w:cs="Arial" w:eastAsia="Arial" w:hAnsi="Arial"/>
          <w:sz w:val="19"/>
          <w:szCs w:val="19"/>
          <w:color w:val="auto"/>
        </w:rPr>
        <w:t xml:space="preserve">. Each Letter of Credit shall be denominated in Dollars or any Alternative Currency to the extent provided in </w:t>
      </w:r>
      <w:r>
        <w:rPr>
          <w:rFonts w:ascii="Arial" w:cs="Arial" w:eastAsia="Arial" w:hAnsi="Arial"/>
          <w:sz w:val="19"/>
          <w:szCs w:val="19"/>
          <w:u w:val="single" w:color="auto"/>
          <w:color w:val="auto"/>
        </w:rPr>
        <w:t>Section 2.19(a)</w:t>
      </w:r>
      <w:r>
        <w:rPr>
          <w:rFonts w:ascii="Arial" w:cs="Arial" w:eastAsia="Arial" w:hAnsi="Arial"/>
          <w:sz w:val="19"/>
          <w:szCs w:val="19"/>
          <w:color w:val="auto"/>
        </w:rPr>
        <w:t xml:space="preserve"> above. Each Letter of Credit shall expire (or be subject to termination by notice from the applicable Issuing Bank to the beneficiary thereof) at or prior to the close of business on the earlier of (i) the date one year after the date of the issuance of such Letter of Credit unless otherwise consented to by the applicable Issuing Bank (or, in the case of any renewal or extension thereof, one year after such renewal or extension) and (ii) the date that is five Business Days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this paragraph (c), a Letter of Credit may expire on a date following the Maturity Date if the Borrower provides Cash Collateral for, “backstops” or replaces such Letter of Credit, in each case, in an amount equal to 103% of the applicable Issuing Bank’s LC Exposure attributable to such Letter of Credit plus any accrued and unpaid interest thereon and pursuant to arrangements (and with “backstop” letter of credit issuers) reasonably acceptable to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01" w:right="339" w:bottom="1440" w:gutter="0" w:footer="0" w:header="0"/>
        </w:sectPr>
      </w:pPr>
    </w:p>
    <w:bookmarkStart w:id="158" w:name="page159"/>
    <w:bookmarkEnd w:id="158"/>
    <w:p>
      <w:pPr>
        <w:jc w:val="both"/>
        <w:ind w:firstLine="656"/>
        <w:spacing w:after="0" w:line="242" w:lineRule="auto"/>
        <w:tabs>
          <w:tab w:leader="none" w:pos="1173"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(or an amendment to a Letter of Credit increasing the amount thereof) and without any further action on the part of any Issuing Bank or the Lenders, the applicable Issuing Bank hereby grants to each Lender, and each Lender hereby acquires from the applicable Issuing Bank, a participation in such Letter of Credit equal to such Lender’s Applicable Percentage of the aggregate amount available to be drawn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Lenders’ participations in a Letter of Credit shall terminate upon giving effect to any Deemed LC Termination in respect of such Letter of Credit. In consideration and in furtherance of the foregoing, each Lender hereby absolutely, unconditionally and irrevocably agrees to pay to the Administrative Agent, for the account of such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Letters of Credit is absolute, unconditional and irrevocable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75" w:lineRule="exact"/>
        <w:rPr>
          <w:rFonts w:ascii="Arial" w:cs="Arial" w:eastAsia="Arial" w:hAnsi="Arial"/>
          <w:sz w:val="19"/>
          <w:szCs w:val="19"/>
          <w:color w:val="auto"/>
        </w:rPr>
      </w:pPr>
    </w:p>
    <w:p>
      <w:pPr>
        <w:jc w:val="both"/>
        <w:ind w:firstLine="656"/>
        <w:spacing w:after="0"/>
        <w:tabs>
          <w:tab w:leader="none" w:pos="1122"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any Issuing Bank shall make any LC Disbursement in respect of a Letter of Credit, the Borrower shall reimburse such LC Disbursement by paying to the Administrative Agent an amount equal to such LC Disbursement in the applicable Agreed Currency within one (1) Business Day after the Borrower shall have received notice of such LC Disbursement;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subject to the conditions to borrowing set forth herein, request in accordance with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that such payment be financed with an ABR Borrowing in an amount equal to the Dollar Equivalent of such LC Disbursement and, to the extent so financed, the Borrower’s obligation to make such payment shall be discharged and replaced by the resulting ABR Borrowing. If the Borrower fails to make such payment when due, (x) any LC Disbursement denominated in an Alternative Currency shall automatically be converted to an LC Disbursement denominated in Dollars in an amount equal to the Dollar Equivalent of such LC Disbursement at such time and (y)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the Borrower of its obligation to reimburse such LC Disbursement. If the Borrower’s reimbursement of, or obligation to reimburse, any amounts in any Alternative Currency would subject the Administrative Agent, any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such Issuing Bank or such Lender or (y) reimburse each LC Disbursement made in such Alternative Currency in Dollars, in an amount equal to the Dollar Equivalent of such LC Disbursement on the date such LC Disbursement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01" w:right="339" w:bottom="1440" w:gutter="0" w:footer="0" w:header="0"/>
        </w:sectPr>
      </w:pPr>
    </w:p>
    <w:bookmarkStart w:id="159" w:name="page160"/>
    <w:bookmarkEnd w:id="159"/>
    <w:p>
      <w:pPr>
        <w:jc w:val="both"/>
        <w:ind w:firstLine="656"/>
        <w:spacing w:after="0" w:line="239" w:lineRule="auto"/>
        <w:tabs>
          <w:tab w:leader="none" w:pos="108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6" w:lineRule="exact"/>
        <w:rPr>
          <w:rFonts w:ascii="Arial" w:cs="Arial" w:eastAsia="Arial" w:hAnsi="Arial"/>
          <w:sz w:val="19"/>
          <w:szCs w:val="19"/>
          <w:color w:val="auto"/>
        </w:rPr>
      </w:pPr>
    </w:p>
    <w:p>
      <w:pPr>
        <w:jc w:val="both"/>
        <w:ind w:firstLine="656"/>
        <w:spacing w:after="0" w:line="222" w:lineRule="auto"/>
        <w:tabs>
          <w:tab w:leader="none" w:pos="117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Each Issuing Bank shall, promptly following its receipt thereof, examine all documents purporting to represent a demand for payment under a Letter of Credit. Such Issuing Bank shall promptly notify the Administrative Agent by telephone (confirmed by telecopy) of such demand for payment and whether such Issuing Bank has made or will make an LC Disbursement thereunder and, upon receipt of such notice, the Administrative Agent shall promptly notify the Borrower by telephone (confirmed by telecopy) of the same;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by the Issuing Bank or the Administrative Agent in giving such notice shall not relieve the Borrower of its obligation to reimburse such Issuing Bank and the Lenders with respect to any such LC Disbursement.</w:t>
      </w:r>
    </w:p>
    <w:p>
      <w:pPr>
        <w:spacing w:after="0" w:line="164" w:lineRule="exact"/>
        <w:rPr>
          <w:rFonts w:ascii="Arial" w:cs="Arial" w:eastAsia="Arial" w:hAnsi="Arial"/>
          <w:sz w:val="21"/>
          <w:szCs w:val="21"/>
          <w:color w:val="auto"/>
        </w:rPr>
      </w:pPr>
    </w:p>
    <w:p>
      <w:pPr>
        <w:jc w:val="both"/>
        <w:ind w:firstLine="656"/>
        <w:spacing w:after="0" w:line="249" w:lineRule="auto"/>
        <w:tabs>
          <w:tab w:leader="none" w:pos="1182"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then applicable to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paragraph (e) of this Section, then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shall apply. Interest accrued pursuant to this paragraph shall be for the account of such Issuing Bank, except that interest accrued on and after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01" w:right="339" w:bottom="1440" w:gutter="0" w:footer="0" w:header="0"/>
        </w:sectPr>
      </w:pPr>
    </w:p>
    <w:bookmarkStart w:id="160" w:name="page161"/>
    <w:bookmarkEnd w:id="160"/>
    <w:p>
      <w:pPr>
        <w:spacing w:after="0" w:line="232" w:lineRule="auto"/>
        <w:rPr>
          <w:sz w:val="20"/>
          <w:szCs w:val="20"/>
          <w:color w:val="auto"/>
        </w:rPr>
      </w:pPr>
      <w:r>
        <w:rPr>
          <w:rFonts w:ascii="Arial" w:cs="Arial" w:eastAsia="Arial" w:hAnsi="Arial"/>
          <w:sz w:val="22"/>
          <w:szCs w:val="22"/>
          <w:color w:val="auto"/>
        </w:rPr>
        <w:t>payment by any Lender pursuant to paragraph (e) of this Section to reimburse such Issuing Bank shall be for the account of such Lender to the extent of such payment.</w:t>
      </w:r>
    </w:p>
    <w:p>
      <w:pPr>
        <w:spacing w:after="0" w:line="159" w:lineRule="exact"/>
        <w:rPr>
          <w:sz w:val="20"/>
          <w:szCs w:val="20"/>
          <w:color w:val="auto"/>
        </w:rPr>
      </w:pPr>
    </w:p>
    <w:p>
      <w:pPr>
        <w:jc w:val="both"/>
        <w:ind w:firstLine="656"/>
        <w:spacing w:after="0"/>
        <w:tabs>
          <w:tab w:leader="none" w:pos="1081"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Business Day that the Borrower receives notice from the Administrative Agent, any Issuing Bank or the Required Lenders (or, if the maturity of the Loans has been accelerated, Lenders with LC Exposure representing greater than 50.0% of the total LC Exposure) demanding the deposit of Cash Collateral pursuant to this paragraph, the Borrower shall provide Cash Collateral in an amount equal to 103% of the LC Exposure as of such date plus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7</w:t>
      </w:r>
      <w:r>
        <w:rPr>
          <w:rFonts w:ascii="Arial" w:cs="Arial" w:eastAsia="Arial" w:hAnsi="Arial"/>
          <w:sz w:val="19"/>
          <w:szCs w:val="19"/>
          <w:color w:val="auto"/>
        </w:rPr>
        <w:t>. Such Cash Collateral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each Issuing Bank),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387" w:lineRule="exact"/>
        <w:rPr>
          <w:rFonts w:ascii="Arial" w:cs="Arial" w:eastAsia="Arial" w:hAnsi="Arial"/>
          <w:sz w:val="19"/>
          <w:szCs w:val="19"/>
          <w:color w:val="auto"/>
        </w:rPr>
      </w:pPr>
    </w:p>
    <w:p>
      <w:pPr>
        <w:jc w:val="both"/>
        <w:ind w:firstLine="656"/>
        <w:spacing w:after="0" w:line="244" w:lineRule="auto"/>
        <w:tabs>
          <w:tab w:leader="none" w:pos="1135"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Replacement of an Issuing Bank</w:t>
      </w:r>
      <w:r>
        <w:rPr>
          <w:rFonts w:ascii="Arial" w:cs="Arial" w:eastAsia="Arial" w:hAnsi="Arial"/>
          <w:sz w:val="19"/>
          <w:szCs w:val="19"/>
          <w:color w:val="auto"/>
        </w:rPr>
        <w:t xml:space="preserve">. Any Issuing Bank may be replaced at any time by written agreement among the Borrower, the Administrative Agent, the replaced Issuing Bank and the successor Issuing Bank. The Administrative Agent shall notify the Lenders of any such replacement of any Issuing Bank. At the time any such replacement shall become effective, the Borrower shall pay all unpaid fees accrued for the account of the replaced Issuing Bank pursuant to </w:t>
      </w:r>
      <w:r>
        <w:rPr>
          <w:rFonts w:ascii="Arial" w:cs="Arial" w:eastAsia="Arial" w:hAnsi="Arial"/>
          <w:sz w:val="19"/>
          <w:szCs w:val="19"/>
          <w:u w:val="single" w:color="auto"/>
          <w:color w:val="auto"/>
        </w:rPr>
        <w:t>Section 2.09(b)</w:t>
      </w:r>
      <w:r>
        <w:rPr>
          <w:rFonts w:ascii="Arial" w:cs="Arial" w:eastAsia="Arial" w:hAnsi="Arial"/>
          <w:sz w:val="19"/>
          <w:szCs w:val="19"/>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54" w:lineRule="exact"/>
        <w:rPr>
          <w:rFonts w:ascii="Arial" w:cs="Arial" w:eastAsia="Arial" w:hAnsi="Arial"/>
          <w:sz w:val="19"/>
          <w:szCs w:val="19"/>
          <w:color w:val="auto"/>
        </w:rPr>
      </w:pPr>
    </w:p>
    <w:p>
      <w:pPr>
        <w:jc w:val="both"/>
        <w:ind w:firstLine="656"/>
        <w:spacing w:after="0" w:line="252" w:lineRule="auto"/>
        <w:tabs>
          <w:tab w:leader="none" w:pos="1152"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Resignation of an Issuing Bank</w:t>
      </w:r>
      <w:r>
        <w:rPr>
          <w:rFonts w:ascii="Arial" w:cs="Arial" w:eastAsia="Arial" w:hAnsi="Arial"/>
          <w:sz w:val="19"/>
          <w:szCs w:val="19"/>
          <w:color w:val="auto"/>
        </w:rPr>
        <w:t>. Any Issuing Bank may resign at any time that such Issuing Bank (or its applicable Affiliate) ceases to hold a Commitment hereunder. The Administrative Agent shall notify the Lenders of any such resignation of any Issuing Bank. After the resignation of an Issuing Bank hereunder, the resigning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spacing w:after="0" w:line="142" w:lineRule="exact"/>
        <w:rPr>
          <w:rFonts w:ascii="Arial" w:cs="Arial" w:eastAsia="Arial" w:hAnsi="Arial"/>
          <w:sz w:val="19"/>
          <w:szCs w:val="19"/>
          <w:color w:val="auto"/>
        </w:rPr>
      </w:pPr>
    </w:p>
    <w:p>
      <w:pPr>
        <w:ind w:firstLine="656"/>
        <w:spacing w:after="0" w:line="235" w:lineRule="auto"/>
        <w:tabs>
          <w:tab w:leader="none" w:pos="107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Deemed Letter of Credit Requests</w:t>
      </w:r>
      <w:r>
        <w:rPr>
          <w:rFonts w:ascii="Arial" w:cs="Arial" w:eastAsia="Arial" w:hAnsi="Arial"/>
          <w:sz w:val="22"/>
          <w:szCs w:val="22"/>
          <w:color w:val="auto"/>
        </w:rPr>
        <w:t>. The Borrower may, from time to time, request (a “</w:t>
      </w:r>
      <w:r>
        <w:rPr>
          <w:rFonts w:ascii="Arial" w:cs="Arial" w:eastAsia="Arial" w:hAnsi="Arial"/>
          <w:sz w:val="22"/>
          <w:szCs w:val="22"/>
          <w:b w:val="1"/>
          <w:bCs w:val="1"/>
          <w:color w:val="auto"/>
        </w:rPr>
        <w:t>Deemed LC Request</w:t>
      </w:r>
      <w:r>
        <w:rPr>
          <w:rFonts w:ascii="Arial" w:cs="Arial" w:eastAsia="Arial" w:hAnsi="Arial"/>
          <w:sz w:val="22"/>
          <w:szCs w:val="22"/>
          <w:color w:val="auto"/>
        </w:rPr>
        <w:t>”) that (i) any undrawn Letter of Credit issued hereunder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01" w:right="339" w:bottom="1440" w:gutter="0" w:footer="0" w:header="0"/>
        </w:sectPr>
      </w:pPr>
    </w:p>
    <w:bookmarkStart w:id="161" w:name="page162"/>
    <w:bookmarkEnd w:id="161"/>
    <w:p>
      <w:pPr>
        <w:jc w:val="both"/>
        <w:spacing w:after="0" w:line="223" w:lineRule="auto"/>
        <w:rPr>
          <w:sz w:val="20"/>
          <w:szCs w:val="20"/>
          <w:color w:val="auto"/>
        </w:rPr>
      </w:pPr>
      <w:r>
        <w:rPr>
          <w:rFonts w:ascii="Arial" w:cs="Arial" w:eastAsia="Arial" w:hAnsi="Arial"/>
          <w:sz w:val="21"/>
          <w:szCs w:val="21"/>
          <w:color w:val="auto"/>
        </w:rPr>
        <w:t>be terminated and issued under a separate letter of credit facility with the applicable Issuing Bank (a “</w:t>
      </w:r>
      <w:r>
        <w:rPr>
          <w:rFonts w:ascii="Arial" w:cs="Arial" w:eastAsia="Arial" w:hAnsi="Arial"/>
          <w:sz w:val="21"/>
          <w:szCs w:val="21"/>
          <w:b w:val="1"/>
          <w:bCs w:val="1"/>
          <w:color w:val="auto"/>
        </w:rPr>
        <w:t>Deemed LC</w:t>
      </w:r>
      <w:r>
        <w:rPr>
          <w:rFonts w:ascii="Arial" w:cs="Arial" w:eastAsia="Arial" w:hAnsi="Arial"/>
          <w:sz w:val="21"/>
          <w:szCs w:val="21"/>
          <w:color w:val="auto"/>
        </w:rPr>
        <w:t xml:space="preserve"> </w:t>
      </w:r>
      <w:r>
        <w:rPr>
          <w:rFonts w:ascii="Arial" w:cs="Arial" w:eastAsia="Arial" w:hAnsi="Arial"/>
          <w:sz w:val="21"/>
          <w:szCs w:val="21"/>
          <w:b w:val="1"/>
          <w:bCs w:val="1"/>
          <w:color w:val="auto"/>
        </w:rPr>
        <w:t>Termination</w:t>
      </w:r>
      <w:r>
        <w:rPr>
          <w:rFonts w:ascii="Arial" w:cs="Arial" w:eastAsia="Arial" w:hAnsi="Arial"/>
          <w:sz w:val="21"/>
          <w:szCs w:val="21"/>
          <w:color w:val="auto"/>
        </w:rPr>
        <w:t>”) or (ii) any undrawn letter of credit issued under a separate letter of credit facility with an Issuing Bank be deemed</w:t>
      </w:r>
      <w:r>
        <w:rPr>
          <w:rFonts w:ascii="Arial" w:cs="Arial" w:eastAsia="Arial" w:hAnsi="Arial"/>
          <w:sz w:val="21"/>
          <w:szCs w:val="21"/>
          <w:b w:val="1"/>
          <w:bCs w:val="1"/>
          <w:color w:val="auto"/>
        </w:rPr>
        <w:t xml:space="preserve"> </w:t>
      </w:r>
      <w:r>
        <w:rPr>
          <w:rFonts w:ascii="Arial" w:cs="Arial" w:eastAsia="Arial" w:hAnsi="Arial"/>
          <w:sz w:val="21"/>
          <w:szCs w:val="21"/>
          <w:color w:val="auto"/>
        </w:rPr>
        <w:t>to be terminated and issued hereunder as a Letter of Credit (a “</w:t>
      </w:r>
      <w:r>
        <w:rPr>
          <w:rFonts w:ascii="Arial" w:cs="Arial" w:eastAsia="Arial" w:hAnsi="Arial"/>
          <w:sz w:val="21"/>
          <w:szCs w:val="21"/>
          <w:b w:val="1"/>
          <w:bCs w:val="1"/>
          <w:color w:val="auto"/>
        </w:rPr>
        <w:t>Deemed LC Issuance</w:t>
      </w:r>
      <w:r>
        <w:rPr>
          <w:rFonts w:ascii="Arial" w:cs="Arial" w:eastAsia="Arial" w:hAnsi="Arial"/>
          <w:sz w:val="21"/>
          <w:szCs w:val="21"/>
          <w:color w:val="auto"/>
        </w:rPr>
        <w:t xml:space="preserve">”). Any such Deemed LC Request shall identify the applicable Letter of Credit, and the Deemed LC Termination or Deemed LC Issuance specified therein shall, subject to the prior written consent of each of the Administrative Agent and the applicable Issuing Bank (which consent may be withheld in its sole discretion) and, in the case of any Deemed LC Issuance, the satisfaction of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be effective upon receipt of such written consent.</w:t>
      </w:r>
    </w:p>
    <w:p>
      <w:pPr>
        <w:spacing w:after="0" w:line="163"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from the Borrower hereunder in the currency expressed to be payable herein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xml:space="preserve">”) into another currency, the parties hereto agree, to the fullest extent that they may effectively do so, that the rate of exchange used shall be that at which the Administrative Agent could, in accordance with normal banking procedures applicable to arm’s length transactions, purchase the specified currency with such other currency at the Administrative Agent’s Principal Office on the Business Day immediately preceding that on which final, non-appealable judgment is given. The obligations of the Borrower in respect of any sum due to the Administrative Agent, any Issuing Bank or any Lender hereunder shall, notwithstanding any judgment in a currency other than the specified currency, be discharged only to the extent that on the Business Day following receipt by the Administrative Agent, such Issuing Bank or such Lender of any sum adjudged to be so due in such other currency, the Administrative Agent, such Issuing Bank or such Lender may in accordance with normal, reasonable banking procedures purchase the specified currency with such other currency. If the amount of the specified currency so purchased is less than the sum originally due to the Administrative Agent, such Issuing Bank or such Lender in the specified currency, the Borrower agrees, to the fullest extent that it may effectively do so, as a separate obligation and notwithstanding any such judgment, to indemnify the Administrative Agent, such Issuing Bank or such Lender against such loss, and if the amount of the specified currency so purchased exceeds (a) the sum originally due to the Administrative Agent, such Issuing Bank or such Lender in the specified currency and (b) any amounts shared with other Lenders as a result of allocations of such excess as a disproportionate payment to such Lender under </w:t>
      </w:r>
      <w:r>
        <w:rPr>
          <w:rFonts w:ascii="Arial" w:cs="Arial" w:eastAsia="Arial" w:hAnsi="Arial"/>
          <w:sz w:val="19"/>
          <w:szCs w:val="19"/>
          <w:u w:val="single" w:color="auto"/>
          <w:color w:val="auto"/>
        </w:rPr>
        <w:t>Section 2.15(c)</w:t>
      </w:r>
      <w:r>
        <w:rPr>
          <w:rFonts w:ascii="Arial" w:cs="Arial" w:eastAsia="Arial" w:hAnsi="Arial"/>
          <w:sz w:val="19"/>
          <w:szCs w:val="19"/>
          <w:color w:val="auto"/>
        </w:rPr>
        <w:t>, the Administrative Agent, such Issuing Bank or such Lender agrees to remit such excess to the Borrower.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Parent and the Borrower, as applicable, represent and warrant to the Lenders that: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Each of the Parent and its Subsidiaries is duly organized or formed,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4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The Transactions are within the Borrower’s and each Guarantor’s corporate or other organizational powers and have been duly authorized by all necessary corporate or other organizational and, if required, equity holder action. Each of the Borrower and the Guarantors has duly executed and delivered each of the Loan Documents to which it is party, and each of such Loan Documents constitute its legal, valid and binding obligations, enforceable in accordance with its terms, subject to applicable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395" w:right="339" w:bottom="1440" w:gutter="0" w:footer="0" w:header="0"/>
        </w:sectPr>
      </w:pPr>
    </w:p>
    <w:bookmarkStart w:id="162" w:name="page163"/>
    <w:bookmarkEnd w:id="162"/>
    <w:p>
      <w:pPr>
        <w:jc w:val="both"/>
        <w:spacing w:after="0" w:line="232" w:lineRule="auto"/>
        <w:rPr>
          <w:sz w:val="20"/>
          <w:szCs w:val="20"/>
          <w:color w:val="auto"/>
        </w:rPr>
      </w:pPr>
      <w:r>
        <w:rPr>
          <w:rFonts w:ascii="Arial" w:cs="Arial" w:eastAsia="Arial" w:hAnsi="Arial"/>
          <w:sz w:val="22"/>
          <w:szCs w:val="22"/>
          <w:color w:val="auto"/>
        </w:rPr>
        <w:t>insolvency, reorganization, moratorium or other laws affecting creditors’ rights generally and subject to general principles of equity, regardless of whether considered in a proceeding in equity or at law.</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Financial Condition; No Material Adverse Change</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4" w:lineRule="auto"/>
        <w:tabs>
          <w:tab w:leader="none" w:pos="116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Borrower has heretofore furnished to the Administrative Agent (i) the Borrower’s consolidated balance sheets and related consolidated statements of operations and comprehensive loss, consolidated statements of changes in members’ (deficit) equity, and consolidated statements of cash flows as of and for the fiscal years ended September 30, 2019 and September 30, 2020, reported on by Ernst &amp; Young LLP, independent public accountants and (ii) its condensed consolidated balance sheets and related condensed consolidated statements of operations and comprehensive loss, condensed consolidated statements of changes in members’ (deficit) equity, and condensed consolidated statements of cash flows as of the end of and for the fiscal quarters ended December 31, 2020, March 31, 2021 and June 30, 2021 and the then elapsed portion of the fiscal year. Such financial statements present fairly, in all material respects, the financial position and results of operations and cash flows of the Borrower and its consolidated Subsidiaries as of such dates and for such periods in accordance with GAAP.</w:t>
      </w:r>
    </w:p>
    <w:p>
      <w:pPr>
        <w:spacing w:after="0" w:line="160" w:lineRule="exact"/>
        <w:rPr>
          <w:rFonts w:ascii="Arial" w:cs="Arial" w:eastAsia="Arial" w:hAnsi="Arial"/>
          <w:sz w:val="19"/>
          <w:szCs w:val="19"/>
          <w:color w:val="auto"/>
        </w:rPr>
      </w:pPr>
    </w:p>
    <w:p>
      <w:pPr>
        <w:ind w:firstLine="656"/>
        <w:spacing w:after="0" w:line="232" w:lineRule="auto"/>
        <w:tabs>
          <w:tab w:leader="none" w:pos="1212" w:val="left"/>
        </w:tabs>
        <w:numPr>
          <w:ilvl w:val="0"/>
          <w:numId w:val="96"/>
        </w:numPr>
        <w:rPr>
          <w:rFonts w:ascii="Arial" w:cs="Arial" w:eastAsia="Arial" w:hAnsi="Arial"/>
          <w:sz w:val="22"/>
          <w:szCs w:val="22"/>
          <w:color w:val="auto"/>
        </w:rPr>
      </w:pPr>
      <w:r>
        <w:rPr>
          <w:rFonts w:ascii="Arial" w:cs="Arial" w:eastAsia="Arial" w:hAnsi="Arial"/>
          <w:sz w:val="22"/>
          <w:szCs w:val="22"/>
          <w:color w:val="auto"/>
        </w:rPr>
        <w:t>Since September 30, 2020, no event, development or circumstance exists or has occurred that has had or would reasonably be expected to have a Material Adverse Effect.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6" w:lineRule="auto"/>
        <w:tabs>
          <w:tab w:leader="none" w:pos="1112"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of the Parent and its Subsidiaries has good title to, or valid leasehold interests in or rights to use, all its real and tangible personal property material to its business, other than minor defects in title that do not interfere with its ability to conduct its business as currently conducted or to utilize such properties for their intended purposes or those Liens permitted by Section 6.02, except in each case where failure to do so could not, individually or in the aggregate, reasonably be expected to have a Material Adverse Effect.</w:t>
      </w:r>
    </w:p>
    <w:p>
      <w:pPr>
        <w:spacing w:after="0" w:line="157" w:lineRule="exact"/>
        <w:rPr>
          <w:rFonts w:ascii="Arial" w:cs="Arial" w:eastAsia="Arial" w:hAnsi="Arial"/>
          <w:sz w:val="22"/>
          <w:szCs w:val="22"/>
          <w:color w:val="auto"/>
        </w:rPr>
      </w:pPr>
    </w:p>
    <w:p>
      <w:pPr>
        <w:jc w:val="both"/>
        <w:ind w:firstLine="656"/>
        <w:spacing w:after="0" w:line="214" w:lineRule="auto"/>
        <w:tabs>
          <w:tab w:leader="none" w:pos="1188"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Each of the Parent and its Subsidiaries owns, or has the valid right to use, all Intellectual Property material to its business as currently conducted, free and clear of all Liens other than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except to the extent such failure to own or have the right to use, individually or in the aggregate, would not reasonably be expected to result in a Material Adverse Effect, and the operation of such business or the use of such Intellectual Property rights by the Parent and its Subsidiaries does not infringe upon, misappropriate, or otherwise violate the rights of any other Person, except for any such infringements,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01" w:right="339" w:bottom="1440" w:gutter="0" w:footer="0" w:header="0"/>
        </w:sectPr>
      </w:pPr>
    </w:p>
    <w:bookmarkStart w:id="163" w:name="page164"/>
    <w:bookmarkEnd w:id="163"/>
    <w:p>
      <w:pPr>
        <w:jc w:val="both"/>
        <w:spacing w:after="0" w:line="232" w:lineRule="auto"/>
        <w:rPr>
          <w:sz w:val="20"/>
          <w:szCs w:val="20"/>
          <w:color w:val="auto"/>
        </w:rPr>
      </w:pPr>
      <w:r>
        <w:rPr>
          <w:rFonts w:ascii="Arial" w:cs="Arial" w:eastAsia="Arial" w:hAnsi="Arial"/>
          <w:sz w:val="22"/>
          <w:szCs w:val="22"/>
          <w:color w:val="auto"/>
        </w:rPr>
        <w:t>misappropriations, or violations that, individually or in the aggregate, would not reasonably be expected to result in a Material Adverse Effect.</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3.06</w:t>
      </w:r>
      <w:r>
        <w:rPr>
          <w:rFonts w:ascii="Arial" w:cs="Arial" w:eastAsia="Arial" w:hAnsi="Arial"/>
          <w:sz w:val="19"/>
          <w:szCs w:val="19"/>
          <w:color w:val="auto"/>
        </w:rPr>
        <w:t>, there are no actions, suits or proceedings by or before any arbitrator or Governmental Authority pending against or, to the knowledge of the Parent or the Borrower, threatened in writing (including “cease and desist” letters and invitations to take a patent license) against or affecting the Parent or any of its Subsidiaries (i) that would reasonably be expected, individually or in the aggregate, to result in a Material Adverse Effect or (ii) that involve this Agreement, any other Loan Document or the Transactions.</w:t>
      </w:r>
    </w:p>
    <w:p>
      <w:pPr>
        <w:spacing w:after="0" w:line="149" w:lineRule="exact"/>
        <w:rPr>
          <w:sz w:val="20"/>
          <w:szCs w:val="20"/>
          <w:color w:val="auto"/>
        </w:rPr>
      </w:pPr>
    </w:p>
    <w:p>
      <w:pPr>
        <w:jc w:val="both"/>
        <w:ind w:firstLine="656"/>
        <w:spacing w:after="0" w:line="257" w:lineRule="auto"/>
        <w:tabs>
          <w:tab w:leader="none" w:pos="1105" w:val="left"/>
        </w:tabs>
        <w:numPr>
          <w:ilvl w:val="0"/>
          <w:numId w:val="98"/>
        </w:numPr>
        <w:rPr>
          <w:rFonts w:ascii="Arial" w:cs="Arial" w:eastAsia="Arial" w:hAnsi="Arial"/>
          <w:sz w:val="19"/>
          <w:szCs w:val="19"/>
          <w:color w:val="auto"/>
        </w:rPr>
      </w:pPr>
      <w:r>
        <w:rPr>
          <w:rFonts w:ascii="Arial" w:cs="Arial" w:eastAsia="Arial" w:hAnsi="Arial"/>
          <w:sz w:val="19"/>
          <w:szCs w:val="19"/>
          <w:color w:val="auto"/>
        </w:rPr>
        <w:t>Except with respect to any matter that, individually or in the aggregate, would not reasonably be expected to result in a Material Adverse Effect, neither the Parent nor any of its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Compliance with Laws and Agreements; No Default</w:t>
      </w:r>
      <w:r>
        <w:rPr>
          <w:rFonts w:ascii="Arial" w:cs="Arial" w:eastAsia="Arial" w:hAnsi="Arial"/>
          <w:sz w:val="22"/>
          <w:szCs w:val="22"/>
          <w:color w:val="auto"/>
        </w:rPr>
        <w:t>. 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has occurred and is continuing.</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Investment Company Status</w:t>
      </w:r>
      <w:r>
        <w:rPr>
          <w:rFonts w:ascii="Arial" w:cs="Arial" w:eastAsia="Arial" w:hAnsi="Arial"/>
          <w:sz w:val="22"/>
          <w:szCs w:val="22"/>
          <w:color w:val="auto"/>
        </w:rPr>
        <w:t>. None of the Parent or any of its Subsidiaries is or is required to be registered as an “investment company” under the Investment Company Act of 1940.</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Margin Stock</w:t>
      </w:r>
      <w:r>
        <w:rPr>
          <w:rFonts w:ascii="Arial" w:cs="Arial" w:eastAsia="Arial" w:hAnsi="Arial"/>
          <w:sz w:val="22"/>
          <w:szCs w:val="22"/>
          <w:color w:val="auto"/>
        </w:rPr>
        <w:t>. None of the Parent or any of its Subsidiaries is engaged, principally or as one of its important activities, in the business of extending credit for the purpose of purchasing or carrying margin stock (within the meaning of Regulation U and Regulation X issued by the Board).</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3.10</w:t>
      </w:r>
      <w:r>
        <w:rPr>
          <w:rFonts w:ascii="Arial" w:cs="Arial" w:eastAsia="Arial" w:hAnsi="Arial"/>
          <w:sz w:val="19"/>
          <w:szCs w:val="19"/>
          <w:color w:val="auto"/>
        </w:rPr>
        <w:t xml:space="preserve"> or as would not reasonably be expected to result in a Material Adverse Effect, (i) each of the Parent and its Subsidiaries has timely filed or caused to be filed all Tax returns and reports required to have been filed with respect to income, properties or operations of the Parent and its Subsidiaries, (ii) such returns accurately reflect in all material respects all liability for Taxes of the Parent and its Subsidiaries as a whole for the periods covered thereby and (iii) each of the Parent and its Subsidiaries has paid or caused to be paid all Taxes required to have been paid by it, except Taxes that are being contested in good faith by appropriate proceedings and, to the extent required by GAAP, for which the Parent or such Subsidiary, as applicable, has set aside on its books adequate reserves in accordance with GAAP.</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ERISA</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4" w:lineRule="auto"/>
        <w:tabs>
          <w:tab w:leader="none" w:pos="1157"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Plan is in compliance in form and operation with its terms and with ERISA and the Code (including without limitation the Code provisions compliance with which is necessary for any intended favorable tax treatment) and all other applicable laws and regulations, except where any failure to comply would not reasonably be expected to result in any Material Adverse Effect. Each Plan (and each related trust, if any) which is intended to be qualified under Section 401(a) of the Code has received a favorable determination letter from the IRS to the effect that it meets the requirements of Sections 401(a) and 501(a) of the Code covering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01" w:right="339" w:bottom="1440" w:gutter="0" w:footer="0" w:header="0"/>
        </w:sectPr>
      </w:pPr>
    </w:p>
    <w:bookmarkStart w:id="164" w:name="page165"/>
    <w:bookmarkEnd w:id="164"/>
    <w:p>
      <w:pPr>
        <w:jc w:val="both"/>
        <w:spacing w:after="0" w:line="214" w:lineRule="auto"/>
        <w:rPr>
          <w:sz w:val="20"/>
          <w:szCs w:val="20"/>
          <w:color w:val="auto"/>
        </w:rPr>
      </w:pPr>
      <w:r>
        <w:rPr>
          <w:rFonts w:ascii="Arial" w:cs="Arial" w:eastAsia="Arial" w:hAnsi="Arial"/>
          <w:sz w:val="22"/>
          <w:szCs w:val="22"/>
          <w:color w:val="auto"/>
        </w:rPr>
        <w:t>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No ERISA Event has occurred, or is reasonably expected to occur, other than as would not, individually or in the aggregate, reasonably be expected to result in any Material Adverse Effect).</w:t>
      </w:r>
    </w:p>
    <w:p>
      <w:pPr>
        <w:spacing w:after="0" w:line="159" w:lineRule="exact"/>
        <w:rPr>
          <w:sz w:val="20"/>
          <w:szCs w:val="20"/>
          <w:color w:val="auto"/>
        </w:rPr>
      </w:pPr>
    </w:p>
    <w:p>
      <w:pPr>
        <w:ind w:firstLine="656"/>
        <w:spacing w:after="0" w:line="232" w:lineRule="auto"/>
        <w:tabs>
          <w:tab w:leader="none" w:pos="113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There exists no Unfunded Pension Liability with respect to any Plan, except as would not reasonably be expected to result in a Material Adverse Effect.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8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None of the Borrower,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5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There are no actions, suits or claims pending against or involving a Plan (other than routine claims for benefits) or, to the knowledge of the Borrower, any Subsidiary or any ERISA Affiliate, threatened, which would reasonably be expected to be asserted successfully against any Plan and, if so asserted successfully, would reasonably be expected either singly or in the aggregate to result in any Material Adverse Effect.</w:t>
      </w:r>
    </w:p>
    <w:p>
      <w:pPr>
        <w:spacing w:after="0" w:line="160" w:lineRule="exact"/>
        <w:rPr>
          <w:rFonts w:ascii="Arial" w:cs="Arial" w:eastAsia="Arial" w:hAnsi="Arial"/>
          <w:sz w:val="22"/>
          <w:szCs w:val="22"/>
          <w:color w:val="auto"/>
        </w:rPr>
      </w:pPr>
    </w:p>
    <w:p>
      <w:pPr>
        <w:jc w:val="both"/>
        <w:ind w:firstLine="656"/>
        <w:spacing w:after="0" w:line="216" w:lineRule="auto"/>
        <w:tabs>
          <w:tab w:leader="none" w:pos="122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Borrower, its Subsidiaries and its ERISA Affiliates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would not reasonably be expected to result in any Material Adverse Effect.</w:t>
      </w:r>
    </w:p>
    <w:p>
      <w:pPr>
        <w:spacing w:after="0" w:line="157" w:lineRule="exact"/>
        <w:rPr>
          <w:rFonts w:ascii="Arial" w:cs="Arial" w:eastAsia="Arial" w:hAnsi="Arial"/>
          <w:sz w:val="22"/>
          <w:szCs w:val="22"/>
          <w:color w:val="auto"/>
        </w:rPr>
      </w:pPr>
    </w:p>
    <w:p>
      <w:pPr>
        <w:jc w:val="both"/>
        <w:ind w:firstLine="656"/>
        <w:spacing w:after="0" w:line="239" w:lineRule="auto"/>
        <w:tabs>
          <w:tab w:leader="none" w:pos="121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 Plan which is subject to Section 412 of the Code or Section 302 of ERISA has applied for or received an extension of any amortization period, within the meaning of Section 412 of the Code or Section 302 or 304 of ERISA. The Borrower, any Subsidiary, and any ERISA Affiliate have not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Borrower, any Subsidiary or any ERISA Affiliate have incurred or reasonably expect to incur any liability to PBGC except as would not reasonably be expected to result in a Material Adverse Effect, save for any liability for premiums due in the ordinary course or other liability which would not reasonably be expected to result in a Material Adverse Effect, and no lien imposed under the Code or ERISA on the assets of the Borrower or any Subsidiary or any ERISA Affiliate exists or, to the knowledge of the Borrower, is likely to arise on account of any Plan. None of the Borrower, any Subsidiary or any ERISA Affiliate has engaged in a transaction that would reasonably be expected to be subject to Section 4069 or 4212(c) of</w:t>
      </w: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161" w:lineRule="exact"/>
        <w:rPr>
          <w:rFonts w:ascii="Arial" w:cs="Arial" w:eastAsia="Arial" w:hAnsi="Arial"/>
          <w:sz w:val="19"/>
          <w:szCs w:val="19"/>
          <w:color w:val="auto"/>
        </w:rPr>
      </w:pPr>
    </w:p>
    <w:p>
      <w:pPr>
        <w:jc w:val="both"/>
        <w:ind w:firstLine="656"/>
        <w:spacing w:after="0" w:line="249" w:lineRule="auto"/>
        <w:tabs>
          <w:tab w:leader="none" w:pos="120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 a Material Adverse Effect. All contributions required to be made with respect to a Non-U.S. Plan have been timely made, except as would not reasonably be expected to result in a Material Adverse Effect. Neither the Borrower nor any of its Subsidiaries has incurred any obligation in connection with the termination of, or withdrawal from, any Non-U.S. Plan, except as would not reasonably be expected to result in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29" w:lineRule="auto"/>
        <w:rPr>
          <w:sz w:val="20"/>
          <w:szCs w:val="20"/>
          <w:color w:val="auto"/>
        </w:rPr>
      </w:pPr>
      <w:r>
        <w:rPr>
          <w:rFonts w:ascii="Arial" w:cs="Arial" w:eastAsia="Arial" w:hAnsi="Arial"/>
          <w:sz w:val="21"/>
          <w:szCs w:val="21"/>
          <w:color w:val="auto"/>
        </w:rPr>
        <w:t>Adverse Effect. The present value of the accrued benefit liabilities (whether or not vested) under each Non-U.S. Plan, determined as of the end of the Borrower’s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19"/>
          <w:szCs w:val="19"/>
          <w:u w:val="single" w:color="auto"/>
          <w:color w:val="auto"/>
        </w:rPr>
        <w:t>Disclosure</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2" w:lineRule="auto"/>
        <w:tabs>
          <w:tab w:leader="none" w:pos="111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All written information provided by any Responsible Officer of the Parent or the Borrower, as applicable (other than any projected financial information, estimates, budgets, forward looking statements and other than information of a general economic or industry specific nature) to the Administrative Agent or any Lender in connection with this Agreement or delivered hereunder, as modified or supplemented by other information so furnished and when taken as a whole together with any information disclosed in the Parent’s public filings with the SEC, does not contain any material misstatement of fact or omit to state any material fact necessary to make the statements therein, in light of the circumstances under which they were made, not materially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projected financial information, the Parent and the Borrower, as applicable, represent only that such information was prepared in good faith based upon assumptions believed to be reasonable at the time furnished (it being understood that such projected financial information and all information concerning future proposed and intended activities are forward-looking statements by their nature and are subject to significant uncertainties and contingencies, any of which are beyond the Parent’s and the Borrower’s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spacing w:after="0" w:line="160" w:lineRule="exact"/>
        <w:rPr>
          <w:rFonts w:ascii="Arial" w:cs="Arial" w:eastAsia="Arial" w:hAnsi="Arial"/>
          <w:sz w:val="19"/>
          <w:szCs w:val="19"/>
          <w:color w:val="auto"/>
        </w:rPr>
      </w:pPr>
    </w:p>
    <w:p>
      <w:pPr>
        <w:jc w:val="both"/>
        <w:ind w:firstLine="656"/>
        <w:spacing w:after="0" w:line="223" w:lineRule="auto"/>
        <w:tabs>
          <w:tab w:leader="none" w:pos="116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As of the Effective Date, to the best knowledge of the Borrower, to the extent required to be delivered pursuant to </w:t>
      </w:r>
      <w:r>
        <w:rPr>
          <w:rFonts w:ascii="Arial" w:cs="Arial" w:eastAsia="Arial" w:hAnsi="Arial"/>
          <w:sz w:val="22"/>
          <w:szCs w:val="22"/>
          <w:u w:val="single" w:color="auto"/>
          <w:color w:val="auto"/>
        </w:rPr>
        <w:t>Section 4.01(h)</w:t>
      </w:r>
      <w:r>
        <w:rPr>
          <w:rFonts w:ascii="Arial" w:cs="Arial" w:eastAsia="Arial" w:hAnsi="Arial"/>
          <w:sz w:val="22"/>
          <w:szCs w:val="22"/>
          <w:color w:val="auto"/>
        </w:rPr>
        <w:t>, the information included in the Beneficial Ownership Certification provided on or prior to the Effective Date to any Lender in connection with this Agreement is true and correct in all material respects.</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sets forth as of the Effective Date a list of all Subsidiaries, together with (a) the percentage ownership (directly or indirectly) of the Parent and the Borrower, as applicable, therein and (b) whether such Subsidiary is a Guarantor or an Excluded Subsidiary. Except as would not, individually or in the aggregate, reasonably be expected to result in a Material Adverse Effect, the shares of capital stock or other ownership interests of all Subsidiaries of the Parent and the Borrower, as applicable, are fully paid and non-assessable and are owned by the Parent and the Borrower, as applicable, directly or indirectly, free and clear of all Liens other than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Solvency</w:t>
      </w:r>
      <w:r>
        <w:rPr>
          <w:rFonts w:ascii="Arial" w:cs="Arial" w:eastAsia="Arial" w:hAnsi="Arial"/>
          <w:sz w:val="22"/>
          <w:szCs w:val="22"/>
          <w:color w:val="auto"/>
        </w:rPr>
        <w:t>. On the Effective Date, the Parent and its consolidated Subsidiaries are and, after giving effect to the incurrence of any Loans being incurred on such date, will be Solvent.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Anti-Terrorism Law</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34" w:lineRule="auto"/>
        <w:tabs>
          <w:tab w:leader="none" w:pos="1111" w:val="left"/>
        </w:tabs>
        <w:numPr>
          <w:ilvl w:val="0"/>
          <w:numId w:val="102"/>
        </w:numPr>
        <w:rPr>
          <w:rFonts w:ascii="Arial" w:cs="Arial" w:eastAsia="Arial" w:hAnsi="Arial"/>
          <w:sz w:val="21"/>
          <w:szCs w:val="21"/>
          <w:color w:val="auto"/>
        </w:rPr>
      </w:pPr>
      <w:r>
        <w:rPr>
          <w:rFonts w:ascii="Arial" w:cs="Arial" w:eastAsia="Arial" w:hAnsi="Arial"/>
          <w:sz w:val="21"/>
          <w:szCs w:val="21"/>
          <w:color w:val="auto"/>
        </w:rPr>
        <w:t>None of (x) the Parent, any of its Subsidiaries or any of their respective directors, officers or employees, or (y) to the knowledge of the Parent or the Borrower, any agent or Affiliate of the Parent, the Borrower or any Subsidiary that will act in any capacity in connection with or benefit from the credit facility established hereby, is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01" w:right="339" w:bottom="1440" w:gutter="0" w:footer="0" w:header="0"/>
        </w:sectPr>
      </w:pPr>
    </w:p>
    <w:bookmarkStart w:id="166" w:name="page167"/>
    <w:bookmarkEnd w:id="166"/>
    <w:p>
      <w:pPr>
        <w:ind w:firstLine="1304"/>
        <w:spacing w:after="0" w:line="232" w:lineRule="auto"/>
        <w:tabs>
          <w:tab w:leader="none" w:pos="172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 Person that is listed in the annex to, or is otherwise subject to the provisions of, Executive Order No. 13224 on Terrorist Financing effective September 24, 2001 (the “</w:t>
      </w:r>
      <w:r>
        <w:rPr>
          <w:rFonts w:ascii="Arial" w:cs="Arial" w:eastAsia="Arial" w:hAnsi="Arial"/>
          <w:sz w:val="22"/>
          <w:szCs w:val="22"/>
          <w:b w:val="1"/>
          <w:bCs w:val="1"/>
          <w:color w:val="auto"/>
        </w:rPr>
        <w:t>Executive Order</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80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 Person owned or controlled by, or acting for or on behalf of, any Person that is listed in the annex to, or is otherwise subject to the provisions of, the Executive Order;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5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 Person with which any Lender is prohibited from dealing or otherwise engaging in any transaction by any legal requirement relating to applicable laws with respect to terrorism or money laundering (collectively, “</w:t>
      </w:r>
      <w:r>
        <w:rPr>
          <w:rFonts w:ascii="Arial" w:cs="Arial" w:eastAsia="Arial" w:hAnsi="Arial"/>
          <w:sz w:val="22"/>
          <w:szCs w:val="22"/>
          <w:b w:val="1"/>
          <w:bCs w:val="1"/>
          <w:color w:val="auto"/>
        </w:rPr>
        <w:t>Anti-Terrorism</w:t>
      </w:r>
      <w:r>
        <w:rPr>
          <w:rFonts w:ascii="Arial" w:cs="Arial" w:eastAsia="Arial" w:hAnsi="Arial"/>
          <w:sz w:val="22"/>
          <w:szCs w:val="22"/>
          <w:color w:val="auto"/>
        </w:rPr>
        <w:t xml:space="preserve"> </w:t>
      </w:r>
      <w:r>
        <w:rPr>
          <w:rFonts w:ascii="Arial" w:cs="Arial" w:eastAsia="Arial" w:hAnsi="Arial"/>
          <w:sz w:val="22"/>
          <w:szCs w:val="22"/>
          <w:b w:val="1"/>
          <w:bCs w:val="1"/>
          <w:color w:val="auto"/>
        </w:rPr>
        <w:t>Laws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860" w:hanging="556"/>
        <w:spacing w:after="0"/>
        <w:tabs>
          <w:tab w:leader="none" w:pos="186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 Person that commits, threatens or conspires to commit or supports “terrorism” as defined in the Executive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Order; or</w:t>
      </w:r>
    </w:p>
    <w:p>
      <w:pPr>
        <w:spacing w:after="0" w:line="161" w:lineRule="exact"/>
        <w:rPr>
          <w:rFonts w:ascii="Arial" w:cs="Arial" w:eastAsia="Arial" w:hAnsi="Arial"/>
          <w:sz w:val="19"/>
          <w:szCs w:val="19"/>
          <w:color w:val="auto"/>
        </w:rPr>
      </w:pPr>
    </w:p>
    <w:p>
      <w:pPr>
        <w:ind w:left="1780" w:hanging="476"/>
        <w:spacing w:after="0"/>
        <w:tabs>
          <w:tab w:leader="none" w:pos="178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 Sanctioned Person.</w:t>
      </w:r>
    </w:p>
    <w:p>
      <w:pPr>
        <w:spacing w:after="0" w:line="179" w:lineRule="exact"/>
        <w:rPr>
          <w:rFonts w:ascii="Arial" w:cs="Arial" w:eastAsia="Arial" w:hAnsi="Arial"/>
          <w:sz w:val="22"/>
          <w:szCs w:val="22"/>
          <w:color w:val="auto"/>
        </w:rPr>
      </w:pPr>
    </w:p>
    <w:p>
      <w:pPr>
        <w:jc w:val="both"/>
        <w:ind w:firstLine="656"/>
        <w:spacing w:after="0" w:line="224" w:lineRule="auto"/>
        <w:tabs>
          <w:tab w:leader="none" w:pos="121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Neither the Parent nor any of its Subsidiaries, nor, to the knowledge of the Parent or the Borrower, any of their respective Affiliates, (i) conducts any business with, or engages in making or receiving any contribution of funds, goods or services to or for the benefit of, a Person described in </w:t>
      </w:r>
      <w:r>
        <w:rPr>
          <w:rFonts w:ascii="Arial" w:cs="Arial" w:eastAsia="Arial" w:hAnsi="Arial"/>
          <w:sz w:val="21"/>
          <w:szCs w:val="21"/>
          <w:u w:val="single" w:color="auto"/>
          <w:color w:val="auto"/>
        </w:rPr>
        <w:t>Section 3.15(a)(i)-(v)</w:t>
      </w:r>
      <w:r>
        <w:rPr>
          <w:rFonts w:ascii="Arial" w:cs="Arial" w:eastAsia="Arial" w:hAnsi="Arial"/>
          <w:sz w:val="21"/>
          <w:szCs w:val="21"/>
          <w:color w:val="auto"/>
        </w:rPr>
        <w:t xml:space="preserve"> above, except as permitted under U.S. law,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59" w:lineRule="exact"/>
        <w:rPr>
          <w:rFonts w:ascii="Arial" w:cs="Arial" w:eastAsia="Arial" w:hAnsi="Arial"/>
          <w:sz w:val="21"/>
          <w:szCs w:val="21"/>
          <w:color w:val="auto"/>
        </w:rPr>
      </w:pPr>
    </w:p>
    <w:p>
      <w:pPr>
        <w:jc w:val="both"/>
        <w:ind w:firstLine="656"/>
        <w:spacing w:after="0" w:line="229" w:lineRule="auto"/>
        <w:tabs>
          <w:tab w:leader="none" w:pos="113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The Parent will not use, and will not permit any of its Subsidiaries or Affiliates to use, the proceeds of the Loans or Letters of Credit or otherwise make available such proceeds to any Person described in </w:t>
      </w:r>
      <w:r>
        <w:rPr>
          <w:rFonts w:ascii="Arial" w:cs="Arial" w:eastAsia="Arial" w:hAnsi="Arial"/>
          <w:sz w:val="21"/>
          <w:szCs w:val="21"/>
          <w:u w:val="single" w:color="auto"/>
          <w:color w:val="auto"/>
        </w:rPr>
        <w:t>Section 3.15(a)(i)-(v)</w:t>
      </w:r>
      <w:r>
        <w:rPr>
          <w:rFonts w:ascii="Arial" w:cs="Arial" w:eastAsia="Arial" w:hAnsi="Arial"/>
          <w:sz w:val="21"/>
          <w:szCs w:val="21"/>
          <w:color w:val="auto"/>
        </w:rPr>
        <w:t xml:space="preserve"> above, for the purpose of financing the activities of any Person described in </w:t>
      </w:r>
      <w:r>
        <w:rPr>
          <w:rFonts w:ascii="Arial" w:cs="Arial" w:eastAsia="Arial" w:hAnsi="Arial"/>
          <w:sz w:val="21"/>
          <w:szCs w:val="21"/>
          <w:u w:val="single" w:color="auto"/>
          <w:color w:val="auto"/>
        </w:rPr>
        <w:t>Section 3.15(a)(i)-(v)</w:t>
      </w:r>
      <w:r>
        <w:rPr>
          <w:rFonts w:ascii="Arial" w:cs="Arial" w:eastAsia="Arial" w:hAnsi="Arial"/>
          <w:sz w:val="21"/>
          <w:szCs w:val="21"/>
          <w:color w:val="auto"/>
        </w:rPr>
        <w:t xml:space="preserve"> above, in any Sanctioned Country or in any other manner that would violate any Anti-Terrorism Laws or Sanctions by any party hereto.</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2" w:lineRule="auto"/>
        <w:tabs>
          <w:tab w:leader="none" w:pos="112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 part of the proceeds of the Loans or Letters of Credit will be used by the Borrower or any of its Subsidiaries, or, to the knowledge of the Parent, the Borrower, any of their respective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or any applicable Anti-Corruption Law.</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6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Parent has implemented and maintains in effect policies and procedures designed to ensure compliance by the Parent, the Borrower, their respective Subsidiaries and their respective directors, officers, employees, Affiliates and agents with Anti-Corruption Laws and applicable Sanctions, and the Parent, the Borrower, their respective Subsidiaries and their respective directors, officers and employees, and, to the knowledge of the Parent, the Borrower, their respective Affiliates and agents, are in compliance with Anti-Corruption Laws and applicable Sanctions in all material respects.</w:t>
      </w:r>
    </w:p>
    <w:p>
      <w:pPr>
        <w:spacing w:after="0" w:line="14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Security Documents</w:t>
      </w:r>
      <w:r>
        <w:rPr>
          <w:rFonts w:ascii="Arial" w:cs="Arial" w:eastAsia="Arial" w:hAnsi="Arial"/>
          <w:sz w:val="21"/>
          <w:szCs w:val="21"/>
          <w:color w:val="auto"/>
        </w:rPr>
        <w:t xml:space="preserve">. The Security Documents (other than the Australian Collateral Agreements) are effective to create in favor of the Administrative Agent, for the benefit of the Lenders, a legal, valid and enforceable security interest (subject to Liens permitted by </w:t>
      </w:r>
      <w:r>
        <w:rPr>
          <w:rFonts w:ascii="Arial" w:cs="Arial" w:eastAsia="Arial" w:hAnsi="Arial"/>
          <w:sz w:val="21"/>
          <w:szCs w:val="21"/>
          <w:u w:val="single" w:color="auto"/>
          <w:color w:val="auto"/>
        </w:rPr>
        <w:t>Section 6.02</w:t>
      </w:r>
      <w:r>
        <w:rPr>
          <w:rFonts w:ascii="Arial" w:cs="Arial" w:eastAsia="Arial" w:hAnsi="Arial"/>
          <w:sz w:val="21"/>
          <w:szCs w:val="21"/>
          <w:color w:val="auto"/>
        </w:rPr>
        <w:t>) in the Collateral described therein and proceeds thereof. In the case of any Equity Interests required to be pledged under the Security Agreement (other than the Australian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01" w:right="339" w:bottom="1440" w:gutter="0" w:footer="0" w:header="0"/>
        </w:sectPr>
      </w:pPr>
    </w:p>
    <w:bookmarkStart w:id="167" w:name="page168"/>
    <w:bookmarkEnd w:id="167"/>
    <w:p>
      <w:pPr>
        <w:jc w:val="both"/>
        <w:spacing w:after="0" w:line="243" w:lineRule="auto"/>
        <w:rPr>
          <w:sz w:val="20"/>
          <w:szCs w:val="20"/>
          <w:color w:val="auto"/>
        </w:rPr>
      </w:pPr>
      <w:r>
        <w:rPr>
          <w:rFonts w:ascii="Arial" w:cs="Arial" w:eastAsia="Arial" w:hAnsi="Arial"/>
          <w:sz w:val="19"/>
          <w:szCs w:val="19"/>
          <w:color w:val="auto"/>
        </w:rPr>
        <w:t xml:space="preserve">Collateral Agreements), when stock certificates representing such Equity Interests are delivered to the Administrative Agent (together with a properly completed and signed stock power or endorsement), and in the case of the other Collateral described in the Security Agreement, when financing statements and other filings specified on Schedule 3 to the Security Agreement in appropriate form are filed in the offices specified on Schedule 3 to the Security Agreement, the Security Agreement shall constitute a fully perfected Lien on, and security interest (subject to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in, all right, title and interest of the Loan Parties in such Collateral and the proceeds thereof (to the extent perfection is required pursuant to this Agreement and the Security Documents), as security for the Obligations, in each case prior and superior in right to any other Person (except for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to the extent that such Liens can be perfected by (i) the filing of financing statements, (ii) the delivery to the Administrative Agent of stock certificates representing Equity Interests pledged pursuant to the Security Documents accompanied by stock power or endorsement, and (iii) the recordation of intellectual property security agreements with the United States Patent and Trademark Office or the United States Copyright Office, as applicable.</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Australian Representations</w:t>
      </w:r>
      <w:r>
        <w:rPr>
          <w:rFonts w:ascii="Arial" w:cs="Arial" w:eastAsia="Arial" w:hAnsi="Arial"/>
          <w:sz w:val="19"/>
          <w:szCs w:val="19"/>
          <w:color w:val="auto"/>
        </w:rPr>
        <w:t>. In respect of any Australian Loan Party:</w:t>
      </w:r>
    </w:p>
    <w:p>
      <w:pPr>
        <w:spacing w:after="0" w:line="179" w:lineRule="exact"/>
        <w:rPr>
          <w:sz w:val="20"/>
          <w:szCs w:val="20"/>
          <w:color w:val="auto"/>
        </w:rPr>
      </w:pPr>
    </w:p>
    <w:p>
      <w:pPr>
        <w:jc w:val="both"/>
        <w:ind w:firstLine="656"/>
        <w:spacing w:after="0" w:line="229" w:lineRule="auto"/>
        <w:tabs>
          <w:tab w:leader="none" w:pos="1188" w:val="left"/>
        </w:tabs>
        <w:numPr>
          <w:ilvl w:val="0"/>
          <w:numId w:val="106"/>
        </w:numPr>
        <w:rPr>
          <w:rFonts w:ascii="Arial" w:cs="Arial" w:eastAsia="Arial" w:hAnsi="Arial"/>
          <w:sz w:val="21"/>
          <w:szCs w:val="21"/>
          <w:color w:val="auto"/>
        </w:rPr>
      </w:pPr>
      <w:r>
        <w:rPr>
          <w:rFonts w:ascii="Arial" w:cs="Arial" w:eastAsia="Arial" w:hAnsi="Arial"/>
          <w:sz w:val="21"/>
          <w:szCs w:val="21"/>
          <w:i w:val="1"/>
          <w:iCs w:val="1"/>
          <w:color w:val="auto"/>
        </w:rPr>
        <w:t>Australian Collateral Agreements</w:t>
      </w:r>
      <w:r>
        <w:rPr>
          <w:rFonts w:ascii="Arial" w:cs="Arial" w:eastAsia="Arial" w:hAnsi="Arial"/>
          <w:sz w:val="21"/>
          <w:szCs w:val="21"/>
          <w:color w:val="auto"/>
        </w:rPr>
        <w:t>: The security interests created under the Australian Collateral Agreements will,</w:t>
      </w:r>
      <w:r>
        <w:rPr>
          <w:rFonts w:ascii="Arial" w:cs="Arial" w:eastAsia="Arial" w:hAnsi="Arial"/>
          <w:sz w:val="21"/>
          <w:szCs w:val="21"/>
          <w:i w:val="1"/>
          <w:iCs w:val="1"/>
          <w:color w:val="auto"/>
        </w:rPr>
        <w:t xml:space="preserve"> </w:t>
      </w:r>
      <w:r>
        <w:rPr>
          <w:rFonts w:ascii="Arial" w:cs="Arial" w:eastAsia="Arial" w:hAnsi="Arial"/>
          <w:sz w:val="21"/>
          <w:szCs w:val="21"/>
          <w:color w:val="auto"/>
        </w:rPr>
        <w:t>upon execution thereof, create the legal, valid and enforceable security interest it is expressed to create with the ranking and priority it is expressed to have over the property to which it is expressed to apply, in each case subject to the principles of equity, stamping and registration, statute of limitations and laws affecting creditors' rights generally.</w:t>
      </w:r>
    </w:p>
    <w:p>
      <w:pPr>
        <w:spacing w:after="0" w:line="158" w:lineRule="exact"/>
        <w:rPr>
          <w:rFonts w:ascii="Arial" w:cs="Arial" w:eastAsia="Arial" w:hAnsi="Arial"/>
          <w:sz w:val="21"/>
          <w:szCs w:val="21"/>
          <w:color w:val="auto"/>
        </w:rPr>
      </w:pPr>
    </w:p>
    <w:p>
      <w:pPr>
        <w:ind w:firstLine="656"/>
        <w:spacing w:after="0" w:line="298" w:lineRule="auto"/>
        <w:tabs>
          <w:tab w:leader="none" w:pos="1147"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Trustee</w:t>
      </w:r>
      <w:r>
        <w:rPr>
          <w:rFonts w:ascii="Arial" w:cs="Arial" w:eastAsia="Arial" w:hAnsi="Arial"/>
          <w:sz w:val="19"/>
          <w:szCs w:val="19"/>
          <w:color w:val="auto"/>
        </w:rPr>
        <w:t>. It is not the trustee of any trust or settlement other than as disclosed to the Administrative Agent in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and accepted by, prior to the date it became a Loan Party or any trust which arises in the ordinary course of its trading activities.</w:t>
      </w:r>
    </w:p>
    <w:p>
      <w:pPr>
        <w:spacing w:after="0" w:line="105" w:lineRule="exact"/>
        <w:rPr>
          <w:rFonts w:ascii="Arial" w:cs="Arial" w:eastAsia="Arial" w:hAnsi="Arial"/>
          <w:sz w:val="19"/>
          <w:szCs w:val="19"/>
          <w:color w:val="auto"/>
        </w:rPr>
      </w:pPr>
    </w:p>
    <w:p>
      <w:pPr>
        <w:jc w:val="both"/>
        <w:ind w:firstLine="656"/>
        <w:spacing w:after="0" w:line="218" w:lineRule="auto"/>
        <w:tabs>
          <w:tab w:leader="none" w:pos="1140"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Related Party Benefit and Financial Assistance</w:t>
      </w:r>
      <w:r>
        <w:rPr>
          <w:rFonts w:ascii="Arial" w:cs="Arial" w:eastAsia="Arial" w:hAnsi="Arial"/>
          <w:sz w:val="22"/>
          <w:szCs w:val="22"/>
          <w:color w:val="auto"/>
        </w:rPr>
        <w:t>. It has not contravened nor will it contravene Chapter 2E or 2J.3 of</w:t>
      </w:r>
      <w:r>
        <w:rPr>
          <w:rFonts w:ascii="Arial" w:cs="Arial" w:eastAsia="Arial" w:hAnsi="Arial"/>
          <w:sz w:val="22"/>
          <w:szCs w:val="22"/>
          <w:i w:val="1"/>
          <w:iCs w:val="1"/>
          <w:color w:val="auto"/>
        </w:rPr>
        <w:t xml:space="preserve"> </w:t>
      </w:r>
      <w:r>
        <w:rPr>
          <w:rFonts w:ascii="Arial" w:cs="Arial" w:eastAsia="Arial" w:hAnsi="Arial"/>
          <w:sz w:val="22"/>
          <w:szCs w:val="22"/>
          <w:color w:val="auto"/>
        </w:rPr>
        <w:t>the Australian Corporations Act by entering into any Loan Document to which it is a party or participating in any transaction in connection with any Loan Document to which it is a party to the extent that any contravention could not reasonably be expected to have a Material Adverse Effect.</w:t>
      </w:r>
    </w:p>
    <w:p>
      <w:pPr>
        <w:spacing w:after="0" w:line="160" w:lineRule="exact"/>
        <w:rPr>
          <w:rFonts w:ascii="Arial" w:cs="Arial" w:eastAsia="Arial" w:hAnsi="Arial"/>
          <w:sz w:val="22"/>
          <w:szCs w:val="22"/>
          <w:color w:val="auto"/>
        </w:rPr>
      </w:pPr>
    </w:p>
    <w:p>
      <w:pPr>
        <w:jc w:val="both"/>
        <w:ind w:firstLine="656"/>
        <w:spacing w:after="0" w:line="234" w:lineRule="auto"/>
        <w:tabs>
          <w:tab w:leader="none" w:pos="1251" w:val="left"/>
        </w:tabs>
        <w:numPr>
          <w:ilvl w:val="0"/>
          <w:numId w:val="106"/>
        </w:numPr>
        <w:rPr>
          <w:rFonts w:ascii="Arial" w:cs="Arial" w:eastAsia="Arial" w:hAnsi="Arial"/>
          <w:sz w:val="21"/>
          <w:szCs w:val="21"/>
          <w:color w:val="auto"/>
        </w:rPr>
      </w:pPr>
      <w:r>
        <w:rPr>
          <w:rFonts w:ascii="Arial" w:cs="Arial" w:eastAsia="Arial" w:hAnsi="Arial"/>
          <w:sz w:val="21"/>
          <w:szCs w:val="21"/>
          <w:i w:val="1"/>
          <w:iCs w:val="1"/>
          <w:color w:val="auto"/>
        </w:rPr>
        <w:t>Tax Consolidation</w:t>
      </w:r>
      <w:r>
        <w:rPr>
          <w:rFonts w:ascii="Arial" w:cs="Arial" w:eastAsia="Arial" w:hAnsi="Arial"/>
          <w:sz w:val="21"/>
          <w:szCs w:val="21"/>
          <w:color w:val="auto"/>
        </w:rPr>
        <w:t>. Neither it nor any other Subsidiary incorporated in Australia is a member of an Australian</w:t>
      </w:r>
      <w:r>
        <w:rPr>
          <w:rFonts w:ascii="Arial" w:cs="Arial" w:eastAsia="Arial" w:hAnsi="Arial"/>
          <w:sz w:val="21"/>
          <w:szCs w:val="21"/>
          <w:i w:val="1"/>
          <w:iCs w:val="1"/>
          <w:color w:val="auto"/>
        </w:rPr>
        <w:t xml:space="preserve"> </w:t>
      </w:r>
      <w:r>
        <w:rPr>
          <w:rFonts w:ascii="Arial" w:cs="Arial" w:eastAsia="Arial" w:hAnsi="Arial"/>
          <w:sz w:val="21"/>
          <w:szCs w:val="21"/>
          <w:color w:val="auto"/>
        </w:rPr>
        <w:t>Consolidated Tax Group unless it has entered into an Australian Tax Sharing Agreement or an Australian Tax Funding Agreement in form and substance satisfactory to the Administrative Agent (acting reasonably).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jc w:val="center"/>
        <w:spacing w:after="0"/>
        <w:rPr>
          <w:sz w:val="20"/>
          <w:szCs w:val="20"/>
          <w:color w:val="auto"/>
        </w:rPr>
      </w:pPr>
      <w:r>
        <w:rPr>
          <w:rFonts w:ascii="Arial" w:cs="Arial" w:eastAsia="Arial" w:hAnsi="Arial"/>
          <w:sz w:val="22"/>
          <w:szCs w:val="22"/>
          <w:b w:val="1"/>
          <w:bCs w:val="1"/>
          <w:color w:val="auto"/>
        </w:rPr>
        <w:t>CONDITIONS</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The obligations of the Lenders to make Loans and the Issuing Banks to issue Letters of Credit hereunder shall not become effective until the date on which each of the following conditions is satisfied (or waived in accordance with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159" w:lineRule="exact"/>
        <w:rPr>
          <w:sz w:val="20"/>
          <w:szCs w:val="20"/>
          <w:color w:val="auto"/>
        </w:rPr>
      </w:pPr>
    </w:p>
    <w:p>
      <w:pPr>
        <w:jc w:val="both"/>
        <w:ind w:firstLine="656"/>
        <w:spacing w:after="0" w:line="218" w:lineRule="auto"/>
        <w:tabs>
          <w:tab w:leader="none" w:pos="11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each party hereto either (i) a counterpart of this Agreement signed on behalf of such party or (ii) written evidence reasonably satisfactory to the Administrative Agent (which may include telecopy or electronic transmission of a signed signature page of this Agreement) that such party has signed a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01" w:right="339" w:bottom="1440" w:gutter="0" w:footer="0" w:header="0"/>
        </w:sectPr>
      </w:pPr>
    </w:p>
    <w:bookmarkStart w:id="168" w:name="page169"/>
    <w:bookmarkEnd w:id="168"/>
    <w:p>
      <w:pPr>
        <w:jc w:val="both"/>
        <w:ind w:firstLine="656"/>
        <w:spacing w:after="0" w:line="226" w:lineRule="auto"/>
        <w:tabs>
          <w:tab w:leader="none" w:pos="115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(i) the Security Agreement, executed and delivered by the Borrower, the Parent, and all other U.S. Loan Parties and in form and substance reasonably acceptable to the Administrative Agent, (ii) each short-form intellectual property security agreement required pursuant to Section 4.8(j) of the Security Agreement, (iii) each Foreign Security Agreement set forth on </w:t>
      </w:r>
      <w:r>
        <w:rPr>
          <w:rFonts w:ascii="Arial" w:cs="Arial" w:eastAsia="Arial" w:hAnsi="Arial"/>
          <w:sz w:val="21"/>
          <w:szCs w:val="21"/>
          <w:u w:val="single" w:color="auto"/>
          <w:color w:val="auto"/>
        </w:rPr>
        <w:t>Schedule 4.01(b)</w:t>
      </w:r>
      <w:r>
        <w:rPr>
          <w:rFonts w:ascii="Arial" w:cs="Arial" w:eastAsia="Arial" w:hAnsi="Arial"/>
          <w:sz w:val="21"/>
          <w:szCs w:val="21"/>
          <w:color w:val="auto"/>
        </w:rPr>
        <w:t xml:space="preserve"> and (iv) a Note executed by the Borrower in favor of each Lender requesting a Note at least 5 Business Days prior to the Effective Date.</w:t>
      </w:r>
    </w:p>
    <w:p>
      <w:pPr>
        <w:spacing w:after="0" w:line="159" w:lineRule="exact"/>
        <w:rPr>
          <w:rFonts w:ascii="Arial" w:cs="Arial" w:eastAsia="Arial" w:hAnsi="Arial"/>
          <w:sz w:val="21"/>
          <w:szCs w:val="21"/>
          <w:color w:val="auto"/>
        </w:rPr>
      </w:pPr>
    </w:p>
    <w:p>
      <w:pPr>
        <w:jc w:val="both"/>
        <w:ind w:firstLine="656"/>
        <w:spacing w:after="0" w:line="252" w:lineRule="auto"/>
        <w:tabs>
          <w:tab w:leader="none" w:pos="111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favorable written opinions (addressed to the Administrative Agent and the Lenders and dated the Effective Date) of (i) Latham &amp; Watkins, LLP, counsel for the Loan Parties, (ii) Gilbert + Tobin as Australian counsel to the Lenders and (iii) (1) Weil, Gotshal &amp; Manges LLP (Munich) as German counsel to the Lenders and (2) Latham &amp; Watkins, LLP (Munich), as German counsel to the Loan Parties, in each case, in form and substance reasonably satisfactory to the Administrative Agent. The Borrower hereby requests each such counsel to deliver such opinion.</w:t>
      </w:r>
    </w:p>
    <w:p>
      <w:pPr>
        <w:spacing w:after="0" w:line="148" w:lineRule="exact"/>
        <w:rPr>
          <w:rFonts w:ascii="Arial" w:cs="Arial" w:eastAsia="Arial" w:hAnsi="Arial"/>
          <w:sz w:val="19"/>
          <w:szCs w:val="19"/>
          <w:color w:val="auto"/>
        </w:rPr>
      </w:pPr>
    </w:p>
    <w:p>
      <w:pPr>
        <w:jc w:val="both"/>
        <w:ind w:firstLine="656"/>
        <w:spacing w:after="0" w:line="211" w:lineRule="auto"/>
        <w:tabs>
          <w:tab w:leader="none" w:pos="116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Administrative Agent shall have received (i) certified copies of the resolutions of the board of directors of the Borrower and the Guarantors (or in the case of an Australian Loan Party, extracts of resolutions) approving the transactions contemplated by the Loan Documents to which each such Loan Party is a party and the execution and delivery of such Loan Documents to be delivered by such Loan Party on the Effective Date, and all documents evidencing other necessary organizational action and governmental approvals, if any, with respect to the Loan Documents, and in the case of each Australian Loan Party, providing a statement of corporate benefit and (ii) all other documents reasonably requested by the Administrative Agent relating to the organization, existence and good standing of the Guarantors and the Borrower and authorization of the transactions contemplated hereby.</w:t>
      </w:r>
    </w:p>
    <w:p>
      <w:pPr>
        <w:spacing w:after="0" w:line="164" w:lineRule="exact"/>
        <w:rPr>
          <w:rFonts w:ascii="Arial" w:cs="Arial" w:eastAsia="Arial" w:hAnsi="Arial"/>
          <w:sz w:val="22"/>
          <w:szCs w:val="22"/>
          <w:color w:val="auto"/>
        </w:rPr>
      </w:pPr>
    </w:p>
    <w:p>
      <w:pPr>
        <w:jc w:val="both"/>
        <w:ind w:firstLine="656"/>
        <w:spacing w:after="0" w:line="257" w:lineRule="auto"/>
        <w:tabs>
          <w:tab w:leader="none" w:pos="124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Administrative Agent shall have received a certificate of the Secretary or an Assistant Secretary (or other equivalent officer) of the Borrower and each Guarantor (or director, in the case of the Australian Loan Party) certifying the names and true signatures of the officers of such entity authorized to sign the Loan Documents to which it is a party, to be delivered by such entity on the Effective Date and the other documents to be delivered hereunder on the Effective Date.</w:t>
      </w:r>
    </w:p>
    <w:p>
      <w:pPr>
        <w:spacing w:after="0" w:line="144" w:lineRule="exact"/>
        <w:rPr>
          <w:rFonts w:ascii="Arial" w:cs="Arial" w:eastAsia="Arial" w:hAnsi="Arial"/>
          <w:sz w:val="19"/>
          <w:szCs w:val="19"/>
          <w:color w:val="auto"/>
        </w:rPr>
      </w:pPr>
    </w:p>
    <w:p>
      <w:pPr>
        <w:jc w:val="both"/>
        <w:ind w:firstLine="656"/>
        <w:spacing w:after="0" w:line="224" w:lineRule="auto"/>
        <w:tabs>
          <w:tab w:leader="none" w:pos="113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(i) a certificate, dated the Effective Date and signed on behalf of the Borrower by the President, a Vice President or a Financial Officer of the Borrower, confirming compliance with the conditions set forth in paragraphs (a) and (b) of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as of the Effective Date, and (ii) a certificate, dated the Effective Date and signed on behalf of the Borrower by the chief financial officer of the Borrower, certifying that, as of the Effective Date, the Parent is, individually and together with its Subsidiaries, and after giving effect to the incurrence of any Indebtedness and obligations being incurred in connection herewith will be, Solvent.</w:t>
      </w:r>
    </w:p>
    <w:p>
      <w:pPr>
        <w:spacing w:after="0" w:line="159" w:lineRule="exact"/>
        <w:rPr>
          <w:rFonts w:ascii="Arial" w:cs="Arial" w:eastAsia="Arial" w:hAnsi="Arial"/>
          <w:sz w:val="21"/>
          <w:szCs w:val="21"/>
          <w:color w:val="auto"/>
        </w:rPr>
      </w:pPr>
    </w:p>
    <w:p>
      <w:pPr>
        <w:jc w:val="both"/>
        <w:ind w:firstLine="656"/>
        <w:spacing w:after="0" w:line="234" w:lineRule="auto"/>
        <w:tabs>
          <w:tab w:leader="none" w:pos="120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Lenders, the Administrative Agent and the Arrangers shall have received all fees required to be paid by the Borrower on the Effective Date, and all expenses required to be reimbursed by the Borrower for which invoices have been presented at least three business days prior to the Effective Date, on or before the Effective Date.</w:t>
      </w:r>
    </w:p>
    <w:p>
      <w:pPr>
        <w:spacing w:after="0" w:line="157" w:lineRule="exact"/>
        <w:rPr>
          <w:rFonts w:ascii="Arial" w:cs="Arial" w:eastAsia="Arial" w:hAnsi="Arial"/>
          <w:sz w:val="21"/>
          <w:szCs w:val="21"/>
          <w:color w:val="auto"/>
        </w:rPr>
      </w:pPr>
    </w:p>
    <w:p>
      <w:pPr>
        <w:jc w:val="both"/>
        <w:ind w:firstLine="656"/>
        <w:spacing w:after="0" w:line="216" w:lineRule="auto"/>
        <w:tabs>
          <w:tab w:leader="none" w:pos="116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 The Administrative Agent shall have received, to the extent reasonably requested by any of the Lenders at least five Business Days prior to the Effective Date, all documentation and other information required by bank regulatory authorities under applicable “know-your-customer” and anti-money laundering rules and regulations, including the USA Patriot Act and (ii) to the extent the Borrower qualifies as a “legal entity customer” under the Beneficial Ownership Regulation, at least three days prior to the Effective Date, any Lender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01" w:right="339" w:bottom="1440" w:gutter="0" w:footer="0" w:header="0"/>
        </w:sectPr>
      </w:pPr>
    </w:p>
    <w:bookmarkStart w:id="169" w:name="page170"/>
    <w:bookmarkEnd w:id="169"/>
    <w:p>
      <w:pPr>
        <w:jc w:val="both"/>
        <w:spacing w:after="0" w:line="218" w:lineRule="auto"/>
        <w:rPr>
          <w:sz w:val="20"/>
          <w:szCs w:val="20"/>
          <w:color w:val="auto"/>
        </w:rPr>
      </w:pPr>
      <w:r>
        <w:rPr>
          <w:rFonts w:ascii="Arial" w:cs="Arial" w:eastAsia="Arial" w:hAnsi="Arial"/>
          <w:sz w:val="22"/>
          <w:szCs w:val="22"/>
          <w:color w:val="auto"/>
        </w:rPr>
        <w:t>has requested, in a written notice to the Borrower at least ten days prior to the Effective Date, a Beneficial Ownership Certification in relation to the Borrower shall have received such Beneficial Ownership Certification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execution and delivery by such Lender of its signature page to this Agreement, the condition set forth in this clause (ii) shall be deemed to be satisfied).</w:t>
      </w:r>
    </w:p>
    <w:p>
      <w:pPr>
        <w:spacing w:after="0" w:line="161" w:lineRule="exact"/>
        <w:rPr>
          <w:sz w:val="20"/>
          <w:szCs w:val="20"/>
          <w:color w:val="auto"/>
        </w:rPr>
      </w:pPr>
    </w:p>
    <w:p>
      <w:pPr>
        <w:jc w:val="both"/>
        <w:ind w:firstLine="656"/>
        <w:spacing w:after="0" w:line="247" w:lineRule="auto"/>
        <w:tabs>
          <w:tab w:leader="none" w:pos="1128"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Administrative Agent shall have received (i) audited consolidated financial statements of the Borrower for the two most recent fiscal years ended at least 90 days prior to the Effective Date as to which such financial statements are available,</w:t>
      </w:r>
    </w:p>
    <w:p>
      <w:pPr>
        <w:jc w:val="both"/>
        <w:ind w:firstLine="8"/>
        <w:spacing w:after="0" w:line="214" w:lineRule="auto"/>
        <w:tabs>
          <w:tab w:leader="none" w:pos="32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unaudited interim consolidated financial statements of the Borrower for each quarterly period ended subsequent to the date of the latest financial statements delivered pursuant to clause (i) of this paragraph and at least 45 days prior to the Effective Date as to which such financial statements are available and (iii) reasonably detailed projections of the Parent and its Subsidiaries through its fiscal year ending September 30, 2025.</w:t>
      </w:r>
    </w:p>
    <w:p>
      <w:pPr>
        <w:spacing w:after="0" w:line="160" w:lineRule="exact"/>
        <w:rPr>
          <w:sz w:val="20"/>
          <w:szCs w:val="20"/>
          <w:color w:val="auto"/>
        </w:rPr>
      </w:pPr>
    </w:p>
    <w:p>
      <w:pPr>
        <w:jc w:val="both"/>
        <w:ind w:firstLine="656"/>
        <w:spacing w:after="0" w:line="224" w:lineRule="auto"/>
        <w:tabs>
          <w:tab w:leader="none" w:pos="107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All outstanding Equity Interests (other than Excluded Securities) owned by or on behalf of any Loan Party shall have been pledged pursuant to the Security Agreement or a Foreign Security Agreement and the Administrative Agent shall have received certificates or other instruments representing all such Equity Interests (if any), together with undated stock powers or other instruments of transfer with respect thereto endorsed in blank (and with respect to the Equity Interests of Fluence Energy Singapore Pte. Ltd., no later than five (5) Business Days following the Effective Date (or such additional time period as the Administrative Agent may approve in its reasonable discretion)).</w:t>
      </w:r>
    </w:p>
    <w:p>
      <w:pPr>
        <w:spacing w:after="0" w:line="159" w:lineRule="exact"/>
        <w:rPr>
          <w:rFonts w:ascii="Arial" w:cs="Arial" w:eastAsia="Arial" w:hAnsi="Arial"/>
          <w:sz w:val="21"/>
          <w:szCs w:val="21"/>
          <w:color w:val="auto"/>
        </w:rPr>
      </w:pPr>
    </w:p>
    <w:p>
      <w:pPr>
        <w:jc w:val="both"/>
        <w:ind w:firstLine="656"/>
        <w:spacing w:after="0" w:line="268" w:lineRule="auto"/>
        <w:tabs>
          <w:tab w:leader="none" w:pos="111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the results of a recent Lien search with respect to each Loan Party, and such search shall reveal no Liens on any of the assets of the Loan Parties except for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discharged on or prior to the Effective Date pursuant to documentation reasonably satisfactory to the Administrative Agent.</w:t>
      </w:r>
    </w:p>
    <w:p>
      <w:pPr>
        <w:spacing w:after="0" w:line="132" w:lineRule="exact"/>
        <w:rPr>
          <w:rFonts w:ascii="Arial" w:cs="Arial" w:eastAsia="Arial" w:hAnsi="Arial"/>
          <w:sz w:val="19"/>
          <w:szCs w:val="19"/>
          <w:color w:val="auto"/>
        </w:rPr>
      </w:pPr>
    </w:p>
    <w:p>
      <w:pPr>
        <w:jc w:val="both"/>
        <w:ind w:firstLine="656"/>
        <w:spacing w:after="0" w:line="252" w:lineRule="auto"/>
        <w:tabs>
          <w:tab w:leader="none" w:pos="113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Each document (including any Uniform Commercial Code financing statement (or similar filings under applicable law as set forth on </w:t>
      </w:r>
      <w:r>
        <w:rPr>
          <w:rFonts w:ascii="Arial" w:cs="Arial" w:eastAsia="Arial" w:hAnsi="Arial"/>
          <w:sz w:val="19"/>
          <w:szCs w:val="19"/>
          <w:u w:val="single" w:color="auto"/>
          <w:color w:val="auto"/>
        </w:rPr>
        <w:t>Schedule 4.01(l)</w:t>
      </w:r>
      <w:r>
        <w:rPr>
          <w:rFonts w:ascii="Arial" w:cs="Arial" w:eastAsia="Arial" w:hAnsi="Arial"/>
          <w:sz w:val="19"/>
          <w:szCs w:val="19"/>
          <w:color w:val="auto"/>
        </w:rPr>
        <w:t xml:space="preserve">) required by the Security Documents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shall be in proper form for filing, registration or recordation.</w:t>
      </w:r>
    </w:p>
    <w:p>
      <w:pPr>
        <w:spacing w:after="0" w:line="148" w:lineRule="exact"/>
        <w:rPr>
          <w:rFonts w:ascii="Arial" w:cs="Arial" w:eastAsia="Arial" w:hAnsi="Arial"/>
          <w:sz w:val="19"/>
          <w:szCs w:val="19"/>
          <w:color w:val="auto"/>
        </w:rPr>
      </w:pPr>
    </w:p>
    <w:p>
      <w:pPr>
        <w:jc w:val="both"/>
        <w:ind w:firstLine="656"/>
        <w:spacing w:after="0" w:line="216" w:lineRule="auto"/>
        <w:tabs>
          <w:tab w:leader="none" w:pos="123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 underwritten sale to the public of Class A common stock of the Parent pursuant to a registration statement on Form S-1 (as approved by the Arrangers without any changes thereto which are materially adverse to the interests of the Arrangers or the Lenders, unless consented to by the Arrangers (such consent not to be unreasonably withheld, conditioned or delayed)), that has been declared effective by the SEC shall have been consummated and which shall have generated gross cash proceeds of at least $600.0 million.</w:t>
      </w:r>
    </w:p>
    <w:p>
      <w:pPr>
        <w:spacing w:after="0" w:line="157" w:lineRule="exact"/>
        <w:rPr>
          <w:rFonts w:ascii="Arial" w:cs="Arial" w:eastAsia="Arial" w:hAnsi="Arial"/>
          <w:sz w:val="22"/>
          <w:szCs w:val="22"/>
          <w:color w:val="auto"/>
        </w:rPr>
      </w:pPr>
    </w:p>
    <w:p>
      <w:pPr>
        <w:ind w:left="1140" w:hanging="484"/>
        <w:spacing w:after="0"/>
        <w:tabs>
          <w:tab w:leader="none" w:pos="11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Evidence reasonably satisfactory to the Administrative Agent of repayment and termination of the Shareholder Loan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61" w:lineRule="exact"/>
        <w:rPr>
          <w:rFonts w:ascii="Arial" w:cs="Arial" w:eastAsia="Arial" w:hAnsi="Arial"/>
          <w:sz w:val="19"/>
          <w:szCs w:val="19"/>
          <w:color w:val="auto"/>
        </w:rPr>
      </w:pPr>
    </w:p>
    <w:p>
      <w:pPr>
        <w:ind w:firstLine="656"/>
        <w:spacing w:after="0" w:line="232" w:lineRule="auto"/>
        <w:tabs>
          <w:tab w:leader="none" w:pos="112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case of the Australian Loan Party, a certificate, dated the Effective Date and signed on behalf of the Australian Loan Party by the Secretary or a Director of the Australian Loan Party confirming that: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768"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Australian Loan Party is solvent for the purposes of section 95A of the Australian Corporations Act and there are no grounds for suspecting that it will not continue to be so after executing and complying with its obligations under the Finance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01" w:right="339" w:bottom="1440" w:gutter="0" w:footer="0" w:header="0"/>
        </w:sectPr>
      </w:pPr>
    </w:p>
    <w:bookmarkStart w:id="170" w:name="page171"/>
    <w:bookmarkEnd w:id="170"/>
    <w:p>
      <w:pPr>
        <w:ind w:firstLine="1304"/>
        <w:spacing w:after="0" w:line="247" w:lineRule="auto"/>
        <w:tabs>
          <w:tab w:leader="none" w:pos="182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Australian Loan Party is not prevented by Chapter 2E of the Australian Corporations Act from entering into and performing any of its obligations under the Loan Documents to which it is (or will become) a party.</w:t>
      </w:r>
    </w:p>
    <w:p>
      <w:pPr>
        <w:spacing w:after="0" w:line="15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The Administrative Agent shall notify the Borrower and the Lenders of the Effective Date, and such notice shall be conclusive and binding. Without limiting the generality of the provisions of </w:t>
      </w:r>
      <w:r>
        <w:rPr>
          <w:rFonts w:ascii="Arial" w:cs="Arial" w:eastAsia="Arial" w:hAnsi="Arial"/>
          <w:sz w:val="21"/>
          <w:szCs w:val="21"/>
          <w:u w:val="single" w:color="auto"/>
          <w:color w:val="auto"/>
        </w:rPr>
        <w:t>Article 8</w:t>
      </w:r>
      <w:r>
        <w:rPr>
          <w:rFonts w:ascii="Arial" w:cs="Arial" w:eastAsia="Arial" w:hAnsi="Arial"/>
          <w:sz w:val="21"/>
          <w:szCs w:val="21"/>
          <w:color w:val="auto"/>
        </w:rPr>
        <w:t>, for purposes of determining compliance with the conditions specified in this Section,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 Loan on the occasion of any Borrowing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conversion or a continuation shall not constitute a “Borrowing” for purposes of this </w:t>
      </w:r>
      <w:r>
        <w:rPr>
          <w:rFonts w:ascii="Arial" w:cs="Arial" w:eastAsia="Arial" w:hAnsi="Arial"/>
          <w:sz w:val="22"/>
          <w:szCs w:val="22"/>
          <w:u w:val="single" w:color="auto"/>
          <w:color w:val="auto"/>
        </w:rPr>
        <w:t>Section 4.02</w:t>
      </w:r>
      <w:r>
        <w:rPr>
          <w:rFonts w:ascii="Arial" w:cs="Arial" w:eastAsia="Arial" w:hAnsi="Arial"/>
          <w:sz w:val="22"/>
          <w:szCs w:val="22"/>
          <w:color w:val="auto"/>
        </w:rPr>
        <w:t>), and of the applicable Issuing Bank to issue, renew or extend any Letter of Credit, is subject to the satisfaction (or waiver by the Required Lenders) of the following conditions:</w:t>
      </w:r>
    </w:p>
    <w:p>
      <w:pPr>
        <w:spacing w:after="0" w:line="161" w:lineRule="exact"/>
        <w:rPr>
          <w:sz w:val="20"/>
          <w:szCs w:val="20"/>
          <w:color w:val="auto"/>
        </w:rPr>
      </w:pPr>
    </w:p>
    <w:p>
      <w:pPr>
        <w:jc w:val="both"/>
        <w:ind w:firstLine="656"/>
        <w:spacing w:after="0" w:line="221" w:lineRule="auto"/>
        <w:tabs>
          <w:tab w:leader="none" w:pos="1117"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Parent and the Borrower, as applicable, set forth in this Agreement and the other Loan Documents shall be true and correct in all material respects on and as of the date of such Borrowing or the date of issuance, renewal or extension of such Letter of Credit, as applicable, except that (i) for purposes of this Section, the representations and warranties contained in </w:t>
      </w:r>
      <w:r>
        <w:rPr>
          <w:rFonts w:ascii="Arial" w:cs="Arial" w:eastAsia="Arial" w:hAnsi="Arial"/>
          <w:sz w:val="21"/>
          <w:szCs w:val="21"/>
          <w:u w:val="single" w:color="auto"/>
          <w:color w:val="auto"/>
        </w:rPr>
        <w:t>Section 3.04(a)</w:t>
      </w:r>
      <w:r>
        <w:rPr>
          <w:rFonts w:ascii="Arial" w:cs="Arial" w:eastAsia="Arial" w:hAnsi="Arial"/>
          <w:sz w:val="21"/>
          <w:szCs w:val="21"/>
          <w:color w:val="auto"/>
        </w:rPr>
        <w:t xml:space="preserve">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Arial" w:cs="Arial" w:eastAsia="Arial" w:hAnsi="Arial"/>
          <w:sz w:val="21"/>
          <w:szCs w:val="21"/>
          <w:u w:val="single" w:color="auto"/>
          <w:color w:val="auto"/>
        </w:rPr>
        <w:t>Section 5.01</w:t>
      </w:r>
      <w:r>
        <w:rPr>
          <w:rFonts w:ascii="Arial" w:cs="Arial" w:eastAsia="Arial" w:hAnsi="Arial"/>
          <w:sz w:val="21"/>
          <w:szCs w:val="21"/>
          <w:color w:val="auto"/>
        </w:rPr>
        <w: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 and</w:t>
      </w:r>
    </w:p>
    <w:p>
      <w:pPr>
        <w:spacing w:after="0" w:line="158" w:lineRule="exact"/>
        <w:rPr>
          <w:rFonts w:ascii="Arial" w:cs="Arial" w:eastAsia="Arial" w:hAnsi="Arial"/>
          <w:sz w:val="21"/>
          <w:szCs w:val="21"/>
          <w:color w:val="auto"/>
        </w:rPr>
      </w:pPr>
    </w:p>
    <w:p>
      <w:pPr>
        <w:ind w:firstLine="656"/>
        <w:spacing w:after="0" w:line="298" w:lineRule="auto"/>
        <w:tabs>
          <w:tab w:leader="none" w:pos="113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on a Pro Forma Basis to such Borrowing or the issuance, renewal or extension of such Letter of Credit, as applicable, no Default or Event of Default shall have occurred and be continuing.</w:t>
      </w:r>
    </w:p>
    <w:p>
      <w:pPr>
        <w:spacing w:after="0" w:line="105" w:lineRule="exact"/>
        <w:rPr>
          <w:rFonts w:ascii="Arial" w:cs="Arial" w:eastAsia="Arial" w:hAnsi="Arial"/>
          <w:sz w:val="19"/>
          <w:szCs w:val="19"/>
          <w:color w:val="auto"/>
        </w:rPr>
      </w:pPr>
    </w:p>
    <w:p>
      <w:pPr>
        <w:ind w:firstLine="656"/>
        <w:spacing w:after="0" w:line="232" w:lineRule="auto"/>
        <w:tabs>
          <w:tab w:leader="none" w:pos="11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At the time of and immediately after giving effect on a Pro Forma Basis to such Borrowing or the issuance of such Letter of Credit, as applicable, the Borrower shall be in compliance with </w:t>
      </w:r>
      <w:r>
        <w:rPr>
          <w:rFonts w:ascii="Arial" w:cs="Arial" w:eastAsia="Arial" w:hAnsi="Arial"/>
          <w:sz w:val="22"/>
          <w:szCs w:val="22"/>
          <w:u w:val="single" w:color="auto"/>
          <w:color w:val="auto"/>
        </w:rPr>
        <w:t>Section 6.10(i)(x)</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Each Borrowing and each issuance, renewal or extension of a Letter of Credit shall be deemed to constitute a representation and warranty by the Borrower that the conditions specified in paragraphs (a), (b) and (c) of this Section have been satisfied as of the date thereof.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jc w:val="center"/>
        <w:spacing w:after="0"/>
        <w:rPr>
          <w:sz w:val="20"/>
          <w:szCs w:val="20"/>
          <w:color w:val="auto"/>
        </w:rPr>
      </w:pPr>
      <w:r>
        <w:rPr>
          <w:rFonts w:ascii="Arial" w:cs="Arial" w:eastAsia="Arial" w:hAnsi="Arial"/>
          <w:sz w:val="22"/>
          <w:szCs w:val="22"/>
          <w:b w:val="1"/>
          <w:bCs w:val="1"/>
          <w:color w:val="auto"/>
        </w:rPr>
        <w:t>AFFIRMATIVE COVENANTS</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or otherwise satisfied, and (iii) all Letters of Credit shall have (x) expired or terminated, in each case, without any pending draw, (y) been backstopped or Cash Collateralized in an amount not less than the Minimum Collateral Amount or (z) been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01" w:right="339" w:bottom="1440" w:gutter="0" w:footer="0" w:header="0"/>
        </w:sectPr>
      </w:pPr>
    </w:p>
    <w:bookmarkStart w:id="171" w:name="page172"/>
    <w:bookmarkEnd w:id="171"/>
    <w:p>
      <w:pPr>
        <w:spacing w:after="0" w:line="232" w:lineRule="auto"/>
        <w:rPr>
          <w:sz w:val="20"/>
          <w:szCs w:val="20"/>
          <w:color w:val="auto"/>
        </w:rPr>
      </w:pPr>
      <w:r>
        <w:rPr>
          <w:rFonts w:ascii="Arial" w:cs="Arial" w:eastAsia="Arial" w:hAnsi="Arial"/>
          <w:sz w:val="22"/>
          <w:szCs w:val="22"/>
          <w:color w:val="auto"/>
        </w:rPr>
        <w:t>reissued under another agreement reasonably acceptable to the applicable Issuing Bank, the Parent and the Borrower, as applicable, covenant and agree with the Lenders that:</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Ratings Change and Other Information</w:t>
      </w:r>
      <w:r>
        <w:rPr>
          <w:rFonts w:ascii="Arial" w:cs="Arial" w:eastAsia="Arial" w:hAnsi="Arial"/>
          <w:sz w:val="22"/>
          <w:szCs w:val="22"/>
          <w:color w:val="auto"/>
        </w:rPr>
        <w:t>. The Parent will furnish to the Administrative Agent (for distribution to each Lender):</w:t>
      </w:r>
    </w:p>
    <w:p>
      <w:pPr>
        <w:spacing w:after="0" w:line="159" w:lineRule="exact"/>
        <w:rPr>
          <w:sz w:val="20"/>
          <w:szCs w:val="20"/>
          <w:color w:val="auto"/>
        </w:rPr>
      </w:pPr>
    </w:p>
    <w:p>
      <w:pPr>
        <w:jc w:val="both"/>
        <w:ind w:firstLine="656"/>
        <w:spacing w:after="0" w:line="243" w:lineRule="auto"/>
        <w:tabs>
          <w:tab w:leader="none" w:pos="113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on or before the date on which such financial statements are required to be filed with the SEC after the end of each fiscal year of the Parent (or, if such financial statements are not required to be filed with the SEC, within 120 days after the end of each fiscal year of the Parent), its audited consolidated balance sheet and related consolidated statements of operations and comprehensive income (loss), changes in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(other than a qualification related to the maturity of the Commitments and the Loans at the Maturity Date or upcoming maturity date under any other Indebtedness occurring within one year from the time such report is delivered or potential inability to satisfy a financial covenant under this Agreement or other Indebtedness) and without any qualification or exception as to the scope of such audit) to the effect that such consolidated financial statements present fairly in all material respects the financial condition and results of operations of the Parent and its Subsidiaries on a consolidated basis in accordance with GAAP consistently applied;</w:t>
      </w:r>
    </w:p>
    <w:p>
      <w:pPr>
        <w:spacing w:after="0" w:line="158" w:lineRule="exact"/>
        <w:rPr>
          <w:rFonts w:ascii="Arial" w:cs="Arial" w:eastAsia="Arial" w:hAnsi="Arial"/>
          <w:sz w:val="19"/>
          <w:szCs w:val="19"/>
          <w:color w:val="auto"/>
        </w:rPr>
      </w:pPr>
    </w:p>
    <w:p>
      <w:pPr>
        <w:jc w:val="both"/>
        <w:ind w:firstLine="656"/>
        <w:spacing w:after="0" w:line="244" w:lineRule="auto"/>
        <w:tabs>
          <w:tab w:leader="none" w:pos="114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on or before the date on which such financial statements are required to be filed with the SEC after the end of each of the first three fiscal quarters of each fiscal year of the Parent (or, if such financial statements are not required to be filed with the SEC, within 45 days after the end of each of the first three fiscal quarters of each fiscal year of the Parent), its consolidated balance sheets and related consolidated statements of operations and comprehensive income (loss), changes in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Parent and its Subsidiaries on a consolidated basis in accordance with GAAP consistently applied, subject to normal year-end audit adjustments and the absence of footnotes;</w:t>
      </w:r>
    </w:p>
    <w:p>
      <w:pPr>
        <w:spacing w:after="0" w:line="160" w:lineRule="exact"/>
        <w:rPr>
          <w:rFonts w:ascii="Arial" w:cs="Arial" w:eastAsia="Arial" w:hAnsi="Arial"/>
          <w:sz w:val="19"/>
          <w:szCs w:val="19"/>
          <w:color w:val="auto"/>
        </w:rPr>
      </w:pPr>
    </w:p>
    <w:p>
      <w:pPr>
        <w:jc w:val="both"/>
        <w:ind w:firstLine="656"/>
        <w:spacing w:after="0" w:line="244" w:lineRule="auto"/>
        <w:tabs>
          <w:tab w:leader="none" w:pos="121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concurrently with any delivery of financial statements under clause (a) or (b) above, a certificate of a Financial Officer of the Borrower in substantially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(i) certifying as to whether a Default has occurred and is continuing as of the date thereof and, if a Default has occurred and is continuing as of the date thereof, specifying the details thereof and any action taken or proposed to be taken with respect thereto, (ii) demonstrating compliance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(iii) if and to the extent that any change in GAAP that has occurred since the date of the audited financial statements referred to in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had an impact on such financial statements, specifying the effect of such change on the financial statements accompanying such certificate and (iv) setting forth a list of any issued patents, registered trademarks or registered copyrights acquired by the Parent and its Subsidiaries since the Effective Date or the date of the most recent certificate delivered pursuant to this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prior to the date thereof, as applicable, which Intellectual Property (including any applications therefor) was not included in the Collateral as of the Effective Date or date of such certificate, as applicable;</w:t>
      </w:r>
    </w:p>
    <w:p>
      <w:pPr>
        <w:spacing w:after="0" w:line="154" w:lineRule="exact"/>
        <w:rPr>
          <w:rFonts w:ascii="Arial" w:cs="Arial" w:eastAsia="Arial" w:hAnsi="Arial"/>
          <w:sz w:val="19"/>
          <w:szCs w:val="19"/>
          <w:color w:val="auto"/>
        </w:rPr>
      </w:pPr>
    </w:p>
    <w:p>
      <w:pPr>
        <w:jc w:val="both"/>
        <w:ind w:firstLine="656"/>
        <w:spacing w:after="0" w:line="268" w:lineRule="auto"/>
        <w:tabs>
          <w:tab w:leader="none" w:pos="118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periodic and other reports, proxy statements and other materials filed by the Parent or any Subsidiary with the SEC or any Governmental Authority succeeding to any or all of the functions of said Commission under Section 13 or 15(d) of the Securities Exchange Act of 1934,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01"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be, in each case that is not otherwise required to be delivered to the Administrative Agent pursuant hereto; and</w:t>
      </w:r>
    </w:p>
    <w:p>
      <w:pPr>
        <w:spacing w:after="0" w:line="179" w:lineRule="exact"/>
        <w:rPr>
          <w:sz w:val="20"/>
          <w:szCs w:val="20"/>
          <w:color w:val="auto"/>
        </w:rPr>
      </w:pPr>
    </w:p>
    <w:p>
      <w:pPr>
        <w:jc w:val="both"/>
        <w:ind w:firstLine="656"/>
        <w:spacing w:after="0" w:line="219" w:lineRule="auto"/>
        <w:tabs>
          <w:tab w:leader="none" w:pos="120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promptly following any reasonable request in writing (including any electronic message) therefor, (i) such other information regarding the operations, business affairs and financial condition of the Parent or any Subsidiary, or compliance with the terms of this Agreement or any other Loan Document, as the Administrative Agent or any Lender (through the Administrative Agent)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none of the Parent or any of its Subsidiaries shall be required to disclose any document, information or other matter that (A) constitutes non-financial trade secrets or non-financial proprietary information, (B) in respect of which disclosure to the Administrative Agent or any Lender (or their respective representatives) is prohibited by applicable law or any third party contract legally binding on the Parent or its Subsidiaries or (C) is subject to attorney, client or similar privilege or constitutes attorney work-product.</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Information required to be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may be delivered electronically and if so delivered, shall be deemed to have been delivered on the date on which such information is posted on the Borrower’s or the Parent’s behalf on an Internet or intranet website, if any, to which the Lenders and the Administrative Agent have been granted access (whether a commercial, third-party website or whether sponsored by the Administrative Agent).</w:t>
      </w:r>
    </w:p>
    <w:p>
      <w:pPr>
        <w:spacing w:after="0" w:line="14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Notwithstanding the foregoing, the obligations in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may be satisfied by furnishing (A) the applicable financial statements or other information required by such clauses of Parent (or any other parent company) or (B) the Parent’s or the Borrower’s (or any other parent company), as applicable, Form 10-K or 10-Q, as applicable, filed with the SEC or any securities exchange, in each case, within the time periods specified in such paragraphs;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each of clauses (A) and (B), upon reasonable request by the Administrative Agent, (i) to the extent such financial statements are delivered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and relate to the Parent, such financial statements shall be accompanied by consolidating information that explains in reasonable detail the differences between the information relating to the Parent, on the one hand, and the information relating to the Borrower on a standalone basis, on the other hand, which consolidating information shall be certified by a Responsible Officer of the Borrower as having been fairly presented and (ii) to the extent such statements are in lieu of statements required to be provided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Arial" w:cs="Arial" w:eastAsia="Arial" w:hAnsi="Arial"/>
          <w:sz w:val="19"/>
          <w:szCs w:val="19"/>
          <w:u w:val="single" w:color="auto"/>
          <w:color w:val="auto"/>
        </w:rPr>
        <w:t>Section 5.01(a)</w:t>
      </w:r>
      <w:r>
        <w:rPr>
          <w:rFonts w:ascii="Arial" w:cs="Arial" w:eastAsia="Arial" w:hAnsi="Arial"/>
          <w:sz w:val="19"/>
          <w:szCs w:val="19"/>
          <w:color w:val="auto"/>
        </w:rPr>
        <w: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Notices of Material Events</w:t>
      </w:r>
      <w:r>
        <w:rPr>
          <w:rFonts w:ascii="Arial" w:cs="Arial" w:eastAsia="Arial" w:hAnsi="Arial"/>
          <w:sz w:val="19"/>
          <w:szCs w:val="19"/>
          <w:color w:val="auto"/>
        </w:rPr>
        <w:t>. The Borrower will furnish to the Administrative Agent (for distribution to each</w:t>
      </w:r>
    </w:p>
    <w:p>
      <w:pPr>
        <w:spacing w:after="0"/>
        <w:rPr>
          <w:sz w:val="20"/>
          <w:szCs w:val="20"/>
          <w:color w:val="auto"/>
        </w:rPr>
      </w:pPr>
      <w:r>
        <w:rPr>
          <w:rFonts w:ascii="Arial" w:cs="Arial" w:eastAsia="Arial" w:hAnsi="Arial"/>
          <w:sz w:val="22"/>
          <w:szCs w:val="22"/>
          <w:color w:val="auto"/>
        </w:rPr>
        <w:t>Lender) prompt written notice of the following:</w:t>
      </w:r>
    </w:p>
    <w:p>
      <w:pPr>
        <w:spacing w:after="0" w:line="161" w:lineRule="exact"/>
        <w:rPr>
          <w:sz w:val="20"/>
          <w:szCs w:val="20"/>
          <w:color w:val="auto"/>
        </w:rPr>
      </w:pPr>
    </w:p>
    <w:p>
      <w:pPr>
        <w:ind w:left="1120" w:hanging="464"/>
        <w:spacing w:after="0"/>
        <w:tabs>
          <w:tab w:leader="none" w:pos="11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179" w:lineRule="exact"/>
        <w:rPr>
          <w:rFonts w:ascii="Arial" w:cs="Arial" w:eastAsia="Arial" w:hAnsi="Arial"/>
          <w:sz w:val="22"/>
          <w:szCs w:val="22"/>
          <w:color w:val="auto"/>
        </w:rPr>
      </w:pPr>
    </w:p>
    <w:p>
      <w:pPr>
        <w:jc w:val="both"/>
        <w:ind w:firstLine="656"/>
        <w:spacing w:after="0" w:line="223" w:lineRule="auto"/>
        <w:tabs>
          <w:tab w:leader="none" w:pos="113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Parent or any of its Subsidiary thereof that would reasonably be expected to result in a Material Adverse Effect; and</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other development that results in, or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01" w:right="339" w:bottom="1440" w:gutter="0" w:footer="0" w:header="0"/>
        </w:sectPr>
      </w:pPr>
    </w:p>
    <w:bookmarkStart w:id="173" w:name="page174"/>
    <w:bookmarkEnd w:id="173"/>
    <w:p>
      <w:pPr>
        <w:jc w:val="both"/>
        <w:ind w:firstLine="648"/>
        <w:spacing w:after="0" w:line="223" w:lineRule="auto"/>
        <w:rPr>
          <w:sz w:val="20"/>
          <w:szCs w:val="20"/>
          <w:color w:val="auto"/>
        </w:rPr>
      </w:pPr>
      <w:r>
        <w:rPr>
          <w:rFonts w:ascii="Arial" w:cs="Arial" w:eastAsia="Arial" w:hAnsi="Arial"/>
          <w:sz w:val="22"/>
          <w:szCs w:val="22"/>
          <w:color w:val="auto"/>
        </w:rPr>
        <w:t>Each notice delivered under this Section shall be accompanied by a statement of a Responsible Officer or other executive officer of the Borrower setting forth the details of the event or development requiring such notice and any action taken or proposed to be taken with respect thereto.</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The Parent will, and will cause each of its Subsidiaries to, do or cause to be done all things necessary to preserve, renew and keep in full force and effect its legal existence in its jurisdiction of organization and the rights, licenses, permits, privileges and franchises material to the conduct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prohibit any merger, consolidation, liquidation or dissolution permitted under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and (ii) none of the Parent or any of its Subsidiaries shall be required to preserve, renew or keep in full force and effect its rights, licenses, permits, privileges or franchises where failure to do so would not reasonably be expected to result in a Material Adverse Effect.</w:t>
      </w:r>
    </w:p>
    <w:p>
      <w:pPr>
        <w:spacing w:after="0" w:line="15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Taxes</w:t>
      </w:r>
      <w:r>
        <w:rPr>
          <w:rFonts w:ascii="Arial" w:cs="Arial" w:eastAsia="Arial" w:hAnsi="Arial"/>
          <w:sz w:val="19"/>
          <w:szCs w:val="19"/>
          <w:color w:val="auto"/>
        </w:rPr>
        <w:t xml:space="preserve">. The Parent will, and will cause each of its Subsidiaries to, pay all Tax liabilities, including all Taxes imposed upon it or upon its income or profits or upon any properties belonging to it that, if not paid, would reasonably be expected to result in a Material Adverse Effect, before the same shall become delinquent or in default, and all lawful claims other than Tax liabilities that, if unpaid, would become a Lien upon any properties of the Parent or any of its Subsidiaries not otherwise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in both cases except where (a) the validity or amount thereof is being contested in good faith by appropriate proceedings and (b) to the extent required by GAAP, the Parent or such Subsidiary has set aside on its books adequate reserves with respect thereto in accordance with GAAP.</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Maintenance of Properties; Protection of Intellectual Property; Insurance</w:t>
      </w:r>
      <w:r>
        <w:rPr>
          <w:rFonts w:ascii="Arial" w:cs="Arial" w:eastAsia="Arial" w:hAnsi="Arial"/>
          <w:sz w:val="19"/>
          <w:szCs w:val="19"/>
          <w:color w:val="auto"/>
        </w:rPr>
        <w:t>. The Parent will, and will cause each of its Subsidiaries to, (a) keep and maintain all property used in the conduct of its business in good working order and condition, ordinary wear and tear and casualty events excepted, except to the extent that failure to do so would not reasonably be expected to have a Material Adverse Effect, (b) preserve, renew and maintain in full force and effect all rights, licenses, intellectual property, copyright, trademarks, trade names, patents, domain names, permits, privileges, authorizations and other rights necessary for the conduct of its business, except to the extent that failure to do so would not reasonably be expected to have a Material Adverse Effect and (c) maintain insurance with financially sound and reputable insurance companies in such amounts and against such risks as are customarily maintained by companies engaged in the same or similar businesses or owning assets in the general areas in which the Borrower and its Subsidiaries operate. No later than ten (10) Business Days following the Effective Date (or such additional time period as the Administrative Agent may approve in its reasonable discretion), the Loan Parties shall cause to be delivered to the Administrative Agent customary insurance endorsements naming the Administrative Agent as lender’s loss payee or additional insured, as applicable, with respect to the general commercial liability and commercial property insurance policies maintained by the Loan Parties.</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Maintenance of Material Agreements</w:t>
      </w:r>
      <w:r>
        <w:rPr>
          <w:rFonts w:ascii="Arial" w:cs="Arial" w:eastAsia="Arial" w:hAnsi="Arial"/>
          <w:sz w:val="22"/>
          <w:szCs w:val="22"/>
          <w:color w:val="auto"/>
        </w:rPr>
        <w:t xml:space="preserve">. The Parent will, and will cause each of its Subsidiaries to maintain in full force and effect the agreements listed on </w:t>
      </w:r>
      <w:r>
        <w:rPr>
          <w:rFonts w:ascii="Arial" w:cs="Arial" w:eastAsia="Arial" w:hAnsi="Arial"/>
          <w:sz w:val="22"/>
          <w:szCs w:val="22"/>
          <w:u w:val="single" w:color="auto"/>
          <w:color w:val="auto"/>
        </w:rPr>
        <w:t>Schedule 5.06</w:t>
      </w:r>
      <w:r>
        <w:rPr>
          <w:rFonts w:ascii="Arial" w:cs="Arial" w:eastAsia="Arial" w:hAnsi="Arial"/>
          <w:sz w:val="22"/>
          <w:szCs w:val="22"/>
          <w:color w:val="auto"/>
        </w:rPr>
        <w:t xml:space="preserve"> hereto, except to the extent that failure to do so would not reasonably be expected to have a Material Adverse Effect.</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Books and Records; Inspection Rights</w:t>
      </w:r>
      <w:r>
        <w:rPr>
          <w:rFonts w:ascii="Arial" w:cs="Arial" w:eastAsia="Arial" w:hAnsi="Arial"/>
          <w:sz w:val="22"/>
          <w:szCs w:val="22"/>
          <w:color w:val="auto"/>
        </w:rPr>
        <w:t>. The Parent will, and will cause each of its Subsidiaries to, keep proper books of record and account in which entries full, true and correct in all material respects are made and are sufficient to prepare financial statements in accordance with GAAP. The Parent will, and will cause each of its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to the extent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01" w:right="339" w:bottom="1440" w:gutter="0" w:footer="0" w:header="0"/>
        </w:sectPr>
      </w:pPr>
    </w:p>
    <w:bookmarkStart w:id="174" w:name="page175"/>
    <w:bookmarkEnd w:id="174"/>
    <w:p>
      <w:pPr>
        <w:jc w:val="both"/>
        <w:spacing w:after="0" w:line="221" w:lineRule="auto"/>
        <w:rPr>
          <w:sz w:val="20"/>
          <w:szCs w:val="20"/>
          <w:color w:val="auto"/>
        </w:rPr>
      </w:pPr>
      <w:r>
        <w:rPr>
          <w:rFonts w:ascii="Arial" w:cs="Arial" w:eastAsia="Arial" w:hAnsi="Arial"/>
          <w:sz w:val="21"/>
          <w:szCs w:val="21"/>
          <w:color w:val="auto"/>
        </w:rPr>
        <w:t>necessary, and to discuss its affairs, finances and condition with its officers and independent accountants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Parent or such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Parent or any of its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any third party contract legally binding on the Parent or its Subsidiaries or (iii) is subject to attorney, client or similar privilege or constitutes attorney work-product.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ERISA Events</w:t>
      </w:r>
      <w:r>
        <w:rPr>
          <w:rFonts w:ascii="Arial" w:cs="Arial" w:eastAsia="Arial" w:hAnsi="Arial"/>
          <w:sz w:val="22"/>
          <w:szCs w:val="22"/>
          <w:color w:val="auto"/>
        </w:rPr>
        <w:t>. The Borrower will furnish to the Administrative Agent and each Lender prompt written notice of the occurrence of any ERISA Event that, alone or together with any other ERISA Events that have occurred, would reasonably be expected to result in a Material Adverse Effect.</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Compliance with Laws and Agreements</w:t>
      </w:r>
      <w:r>
        <w:rPr>
          <w:rFonts w:ascii="Arial" w:cs="Arial" w:eastAsia="Arial" w:hAnsi="Arial"/>
          <w:sz w:val="19"/>
          <w:szCs w:val="19"/>
          <w:color w:val="auto"/>
        </w:rPr>
        <w:t>. The Parent will, and will cause each of its Subsidiaries to, comply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The Parent will maintain in effect and enforce policies and procedures designed to ensure compliance by the Parent, its Subsidiaries and their respective directors, officers, employees and agents with Anti-Corruption Laws, Anti-Terrorism Laws and applicable Sanctions.</w:t>
      </w:r>
    </w:p>
    <w:p>
      <w:pPr>
        <w:spacing w:after="0" w:line="15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Loans and Letters of Credit will be used only for working capital and general corporate purposes, including, without limitation, for stock repurchases under stock repurchase programs approved by the Borrower and for acquisitions not prohibited hereunder. No part of the proceeds of any Loan or Letter of Credit will be used, whether directly or indirectly, to purchase or carry margin stock (within the meaning of Regulations U and X of the Board) or to extend credit to others for the purpose of purchasing or carrying margin stock or to refund indebtedness originally incurred for such purpose.</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u w:val="single" w:color="auto"/>
          <w:color w:val="auto"/>
        </w:rPr>
        <w:t>Guarantors; Additional Collateral</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2" w:lineRule="auto"/>
        <w:tabs>
          <w:tab w:leader="none" w:pos="115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If, as of the date of the most recently available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the case may be, any Person shall have become (1) a Domestic Subsidiary (other than an Excluded Subsidiary), then the Parent or the Borrower, as applicable, shall, within 60 days (or such longer period of time as the Administrative Agent may agree in its reasonable discretion) after delivery of such financial statements, cause such Domestic Subsidiary to (i) enter into a guaranty supplement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hereto to become a Guarantor under this Agreement and (ii) (A) enter into a joinder agreement in form and substance reasonably satisfactory to the Administrative Agent to the Security Agreement and (B) take such actions necessary or advisable to grant to the Administrative Agent for the benefit of the Lenders a perfected first priority security interest (subject to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in the Collateral described in the Security Agreement with respect to such Domestic Subsidiary, including the filing of Uniform Commercial Code financing statements in such jurisdictions, and filings with the United States Patent and Trademark Office and United States Copyright Office, as may be required by the Security Agreement or as may be reasonably requested by the Administrative Agent and (iii) if requested by the Administrative Agent, deliver to the Administrative Agent legal opinions consistent with the legal opinions delivered on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01" w:right="339" w:bottom="1440" w:gutter="0" w:footer="0" w:header="0"/>
        </w:sectPr>
      </w:pPr>
    </w:p>
    <w:bookmarkStart w:id="175" w:name="page176"/>
    <w:bookmarkEnd w:id="175"/>
    <w:p>
      <w:pPr>
        <w:jc w:val="both"/>
        <w:spacing w:after="0" w:line="242" w:lineRule="auto"/>
        <w:rPr>
          <w:sz w:val="20"/>
          <w:szCs w:val="20"/>
          <w:color w:val="auto"/>
        </w:rPr>
      </w:pPr>
      <w:r>
        <w:rPr>
          <w:rFonts w:ascii="Arial" w:cs="Arial" w:eastAsia="Arial" w:hAnsi="Arial"/>
          <w:sz w:val="19"/>
          <w:szCs w:val="19"/>
          <w:color w:val="auto"/>
        </w:rPr>
        <w:t xml:space="preserve">Date, which opinions shall be in form and substance, and from counsel, reasonably satisfactory to the Administrative Agent and/or (2) a foreign Subsidiary (other than an Excluded Subsidiary) and such foreign Subsidiary has been designated as a “Foreign Guarantor” by the Borrower, then the Parent or the Borrower, as applicable, shall, within 60 days (or such longer period of time as the Administrative Agent may agree in its reasonable discretion) after delivery of such financial statements, cause such foreign Subsidiary to take all actions necessary to (i) ensure that the Administrative Agent shall have a valid, perfected and enforceable security interest in its assets in accordance with the Agreed Security Principles, (ii) cause such foreign Subsidiary to enter into a guaranty supplement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hereto or otherwise reasonably satisfactory to the Administrative Agent and (iii) if requested by the Administrative Agent, deliver to the Administrative Agent legal opinions consistent with the legal opinions delivered on the Effective Date, which opinions shall be in form and substance, and from counsel, reasonably satisfactory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Parent and its Subsidiaries shall not be required to take any action under this </w:t>
      </w:r>
      <w:r>
        <w:rPr>
          <w:rFonts w:ascii="Arial" w:cs="Arial" w:eastAsia="Arial" w:hAnsi="Arial"/>
          <w:sz w:val="19"/>
          <w:szCs w:val="19"/>
          <w:u w:val="single" w:color="auto"/>
          <w:color w:val="auto"/>
        </w:rPr>
        <w:t>Section 5.11(a)</w:t>
      </w:r>
      <w:r>
        <w:rPr>
          <w:rFonts w:ascii="Arial" w:cs="Arial" w:eastAsia="Arial" w:hAnsi="Arial"/>
          <w:sz w:val="19"/>
          <w:szCs w:val="19"/>
          <w:color w:val="auto"/>
        </w:rPr>
        <w:t xml:space="preserve"> if prior to the end of such 60 day period (or such longer period of time as the Administrative Agent may agree in its sole discretion) such Person becomes an Excluded Subsidiary as a result of a transfer of assets from such Person to the Borrower in a transaction or transactions permitted under this Agreement;</w:t>
      </w:r>
    </w:p>
    <w:p>
      <w:pPr>
        <w:spacing w:after="0" w:line="160" w:lineRule="exact"/>
        <w:rPr>
          <w:sz w:val="20"/>
          <w:szCs w:val="20"/>
          <w:color w:val="auto"/>
        </w:rPr>
      </w:pPr>
    </w:p>
    <w:p>
      <w:pPr>
        <w:jc w:val="both"/>
        <w:ind w:firstLine="656"/>
        <w:spacing w:after="0" w:line="238" w:lineRule="auto"/>
        <w:tabs>
          <w:tab w:leader="none" w:pos="116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If, as of the date of the most recently available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the case may be, any foreign Subsidiary (not including any such foreign Subsidiary that becomes a Guarantor as provided for in </w:t>
      </w:r>
      <w:r>
        <w:rPr>
          <w:rFonts w:ascii="Arial" w:cs="Arial" w:eastAsia="Arial" w:hAnsi="Arial"/>
          <w:sz w:val="19"/>
          <w:szCs w:val="19"/>
          <w:u w:val="single" w:color="auto"/>
          <w:color w:val="auto"/>
        </w:rPr>
        <w:t>Section 5.11(a)(2)</w:t>
      </w:r>
      <w:r>
        <w:rPr>
          <w:rFonts w:ascii="Arial" w:cs="Arial" w:eastAsia="Arial" w:hAnsi="Arial"/>
          <w:sz w:val="19"/>
          <w:szCs w:val="19"/>
          <w:color w:val="auto"/>
        </w:rPr>
        <w:t xml:space="preserve">) that is a direct Subsidiary of any Loan Party shall have been created or acquired after the Effective Date by any Loan Party, the Parent or Borrower, as applicable, will, or will cause the applicable Guarantor to, except to the extent the Equity Interests in such foreign Subsidiary constitute Excluded Securities, within 60 days (or such longer period of time as the Administrative Agent may agree in its sole discretion) after delivery of such financial statements, (i) execute and deliver to the Administrative Agent such amendments to the Security Agreement as the Administrative Agent deems necessary or advisable to grant to the Administrative Agent, for the benefit of the Lenders, a perfected first priority security interest (subject to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in 65% of the total outstanding voting Equity Interests of any such foreign Subsidiary, (ii) deliver to the Administrative Agent any certificates representing such Equity Interests, together with undated stock powers, in blank, executed and delivered by a duly authorized officer of the relevant Loan Party, and take such other action as may be necessary or, in the opinion of the Administrative Agent, reasonably required to perfect the Administrative Agent’s security interest therein, and</w:t>
      </w:r>
    </w:p>
    <w:p>
      <w:pPr>
        <w:spacing w:after="0" w:line="10" w:lineRule="exact"/>
        <w:rPr>
          <w:rFonts w:ascii="Arial" w:cs="Arial" w:eastAsia="Arial" w:hAnsi="Arial"/>
          <w:sz w:val="19"/>
          <w:szCs w:val="19"/>
          <w:color w:val="auto"/>
        </w:rPr>
      </w:pPr>
    </w:p>
    <w:p>
      <w:pPr>
        <w:ind w:firstLine="8"/>
        <w:spacing w:after="0" w:line="224" w:lineRule="auto"/>
        <w:tabs>
          <w:tab w:leader="none" w:pos="3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if reasonably requested by the Administrative Agent, deliver to the Administrative Agent legal opinions, which opinions shall be in form and substance, and from counsel, reasonably satisfactory to the Administrative Agent.</w:t>
      </w:r>
    </w:p>
    <w:p>
      <w:pPr>
        <w:spacing w:after="0" w:line="157" w:lineRule="exact"/>
        <w:rPr>
          <w:rFonts w:ascii="Arial" w:cs="Arial" w:eastAsia="Arial" w:hAnsi="Arial"/>
          <w:sz w:val="22"/>
          <w:szCs w:val="22"/>
          <w:color w:val="auto"/>
        </w:rPr>
      </w:pPr>
    </w:p>
    <w:p>
      <w:pPr>
        <w:jc w:val="both"/>
        <w:ind w:firstLine="656"/>
        <w:spacing w:after="0"/>
        <w:tabs>
          <w:tab w:leader="none" w:pos="115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If, as of the date of the most recently available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the case may be, any property shall be acquired by any Loan Party (other than (x) any property described in paragraphs (a) or (b) above or paragraph (d) below and (y) any property subject to a Lien expressly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as to which the Administrative Agent, for the benefit of the Lenders, does not have a perfected Lien, to the extent required by the Security Documents, the Parent or the Borrower, as applicable, will, or will cause the applicable Loan Party to, within 60 days (or such longer period of time as the Administrative Agent may agree in its sole discretion) after the delivery of such financial statements</w:t>
      </w:r>
    </w:p>
    <w:p>
      <w:pPr>
        <w:spacing w:after="0" w:line="3" w:lineRule="exact"/>
        <w:rPr>
          <w:rFonts w:ascii="Arial" w:cs="Arial" w:eastAsia="Arial" w:hAnsi="Arial"/>
          <w:sz w:val="19"/>
          <w:szCs w:val="19"/>
          <w:color w:val="auto"/>
        </w:rPr>
      </w:pPr>
    </w:p>
    <w:p>
      <w:pPr>
        <w:jc w:val="both"/>
        <w:ind w:firstLine="8"/>
        <w:spacing w:after="0" w:line="211" w:lineRule="auto"/>
        <w:tabs>
          <w:tab w:leader="none" w:pos="30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execute and deliver to the Administrative Agent such amendments to the applicable Security Documents or such other documents as the Administrative Agent deems necessary or advisable to grant to the Administrative Agent, for the benefit of the Lenders, a security interest in such property and (ii) take all actions necessary or advisable to grant to the Administrative Agent, for the benefit of the Lenders, a perfected first priority security interest in such property, including the filing of Uniform Commercial Code financing statements (or similar filings under applicable law) in such jurisdictions as may be required by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01"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or by law or as may be requested by the Administrative Agent, in each case subject to </w:t>
      </w:r>
      <w:r>
        <w:rPr>
          <w:rFonts w:ascii="Arial" w:cs="Arial" w:eastAsia="Arial" w:hAnsi="Arial"/>
          <w:sz w:val="22"/>
          <w:szCs w:val="22"/>
          <w:u w:val="single" w:color="auto"/>
          <w:color w:val="auto"/>
        </w:rPr>
        <w:t>Section 5.11(e)</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tabs>
          <w:tab w:leader="none" w:pos="1160"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If, as of the date of the most recently available financial statements delivered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as the case may be, any fee interest in any real property having a value (together with improvements thereof) of at least $2,500,000 shall be acquired by any Loan Party (other than any such real property subject to a Lien expressly permitted by Section 6.02), the Parent or the Borrower, as applicable, will, or will cause the applicable Loan Party to, within 60 days (or such longer period of time as the Administrative Agent may agree in its sole discretion) after the delivery of such financial statements (i) execute and deliver a first priority mortgage, in favor of the Administrative Agent, for the benefit of the Lenders, covering such real property,</w:t>
      </w:r>
    </w:p>
    <w:p>
      <w:pPr>
        <w:spacing w:after="0" w:line="3" w:lineRule="exact"/>
        <w:rPr>
          <w:rFonts w:ascii="Arial" w:cs="Arial" w:eastAsia="Arial" w:hAnsi="Arial"/>
          <w:sz w:val="19"/>
          <w:szCs w:val="19"/>
          <w:color w:val="auto"/>
        </w:rPr>
      </w:pPr>
    </w:p>
    <w:p>
      <w:pPr>
        <w:jc w:val="both"/>
        <w:ind w:firstLine="8"/>
        <w:spacing w:after="0" w:line="244" w:lineRule="auto"/>
        <w:tabs>
          <w:tab w:leader="none" w:pos="34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reasonably requested by the Administrative Agent, provide the Lenders with (x) title and extended coverage insurance covering such real property in an amount at least equal to the purchase price of such real property (or such other amount as shall be reasonably satisfactory to the Administrative Agent) as well as a current ALTA survey thereof, together with a surveyor’s certificate and (y) any consents or estoppels reasonably deemed necessary by the Administrative Agent in connection with such mortgage, each of the foregoing in form and substance reasonably satisfactory to the Administrative Agent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55" w:lineRule="exact"/>
        <w:rPr>
          <w:rFonts w:ascii="Arial" w:cs="Arial" w:eastAsia="Arial" w:hAnsi="Arial"/>
          <w:sz w:val="19"/>
          <w:szCs w:val="19"/>
          <w:color w:val="auto"/>
        </w:rPr>
      </w:pPr>
    </w:p>
    <w:p>
      <w:pPr>
        <w:jc w:val="both"/>
        <w:ind w:firstLine="656"/>
        <w:spacing w:after="0" w:line="222" w:lineRule="auto"/>
        <w:tabs>
          <w:tab w:leader="none" w:pos="115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Notwithstanding the foregoing or anything to the contrary in this Agreement, none of the Parent or its Subsidiaries shall be required to take any action to create or perfect any security interest in the Collateral (including the registration of Intellectual Property in, and the execution of any agreement, document or other instrument governed by the law of, and the filing of any agreement, document or other instrument) in any jurisdiction other than (i) the United States, any State thereof or the District of Columbia or (ii) the jurisdiction of organization or incorporation of any Foreign Guarantor. In addition, in no event shall (i) any landlord, mortgagee and bailee waivers be required, or (ii) notices be required to be sent to account debtors or other contractual third parties absent an Event of Default.</w:t>
      </w:r>
    </w:p>
    <w:p>
      <w:pPr>
        <w:spacing w:after="0" w:line="164" w:lineRule="exact"/>
        <w:rPr>
          <w:rFonts w:ascii="Arial" w:cs="Arial" w:eastAsia="Arial" w:hAnsi="Arial"/>
          <w:sz w:val="21"/>
          <w:szCs w:val="21"/>
          <w:color w:val="auto"/>
        </w:rPr>
      </w:pPr>
    </w:p>
    <w:p>
      <w:pPr>
        <w:jc w:val="both"/>
        <w:ind w:firstLine="656"/>
        <w:spacing w:after="0" w:line="249" w:lineRule="auto"/>
        <w:tabs>
          <w:tab w:leader="none" w:pos="109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 xml:space="preserve">(i) The Borrower agrees to cause Fluence Energy Philippines to become a Guarantor, enter into applicable Philippine Security Documents, including the Fluence Energy Philippines Guaranty, and take such other actions as required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and the terms of such Philippine Security Documents on or before the date that is 30 days after the Effective Date or five days after the issuance of the Philippine SEC Certificate of Filing of Amended Articles, whichever is later (or such longer period as the Administrative Agent may approve);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Philippines Security Documents and such actions (including with respect to the perfection of the security interests granted to the Administrative Agent thereunder) shall be subject to the following:</w:t>
      </w:r>
    </w:p>
    <w:p>
      <w:pPr>
        <w:spacing w:after="0" w:line="151" w:lineRule="exact"/>
        <w:rPr>
          <w:rFonts w:ascii="Arial" w:cs="Arial" w:eastAsia="Arial" w:hAnsi="Arial"/>
          <w:sz w:val="19"/>
          <w:szCs w:val="19"/>
          <w:color w:val="auto"/>
        </w:rPr>
      </w:pPr>
    </w:p>
    <w:p>
      <w:pPr>
        <w:jc w:val="both"/>
        <w:ind w:left="660" w:firstLine="644"/>
        <w:spacing w:after="0" w:line="244" w:lineRule="auto"/>
        <w:tabs>
          <w:tab w:leader="none" w:pos="1855" w:val="left"/>
        </w:tabs>
        <w:numPr>
          <w:ilvl w:val="2"/>
          <w:numId w:val="122"/>
        </w:numPr>
        <w:rPr>
          <w:rFonts w:ascii="Arial" w:cs="Arial" w:eastAsia="Arial" w:hAnsi="Arial"/>
          <w:sz w:val="19"/>
          <w:szCs w:val="19"/>
          <w:color w:val="auto"/>
        </w:rPr>
      </w:pPr>
      <w:r>
        <w:rPr>
          <w:rFonts w:ascii="Arial" w:cs="Arial" w:eastAsia="Arial" w:hAnsi="Arial"/>
          <w:sz w:val="19"/>
          <w:szCs w:val="19"/>
          <w:color w:val="auto"/>
        </w:rPr>
        <w:t>At all times following the Effective Date, the aggregate amount of Obligations which are secured under the applicable Philippine Security Documents on the Equity Interest owned by the Borrower in Fluence Energy Philippines and the Collateral of the Philippines Guarantors (collectively, the “</w:t>
      </w:r>
      <w:r>
        <w:rPr>
          <w:rFonts w:ascii="Arial" w:cs="Arial" w:eastAsia="Arial" w:hAnsi="Arial"/>
          <w:sz w:val="19"/>
          <w:szCs w:val="19"/>
          <w:b w:val="1"/>
          <w:bCs w:val="1"/>
          <w:color w:val="auto"/>
        </w:rPr>
        <w:t>Philippines Collateral</w:t>
      </w:r>
      <w:r>
        <w:rPr>
          <w:rFonts w:ascii="Arial" w:cs="Arial" w:eastAsia="Arial" w:hAnsi="Arial"/>
          <w:sz w:val="19"/>
          <w:szCs w:val="19"/>
          <w:color w:val="auto"/>
        </w:rPr>
        <w:t>”) shall be $25,000,000 (the “</w:t>
      </w:r>
      <w:r>
        <w:rPr>
          <w:rFonts w:ascii="Arial" w:cs="Arial" w:eastAsia="Arial" w:hAnsi="Arial"/>
          <w:sz w:val="19"/>
          <w:szCs w:val="19"/>
          <w:b w:val="1"/>
          <w:bCs w:val="1"/>
          <w:color w:val="auto"/>
        </w:rPr>
        <w:t>Philippines Secured Amount</w:t>
      </w:r>
      <w:r>
        <w:rPr>
          <w:rFonts w:ascii="Arial" w:cs="Arial" w:eastAsia="Arial" w:hAnsi="Arial"/>
          <w:sz w:val="19"/>
          <w:szCs w:val="19"/>
          <w:color w:val="auto"/>
        </w:rPr>
        <w:t>”); provided, that if on the last day of any fiscal quarter of the Parent either the aggregate revenues of the Philippines Guarantors for the four fiscal quarter period then ended or the total assets of the Philippines Guarantors as of such date exceeds the applicable percentage set forth on the grid below of, respectively, Total Revenues (for such period) or Total Assets (as of such date), then the Borrower shall, within 30 days following the end of such fiscal quarter (or such longer period as the Administrative Agent may approve), ensure that such actions are taken (including the execution of any required supplements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01" w:right="339" w:bottom="1440" w:gutter="0" w:footer="0" w:header="0"/>
        </w:sectPr>
      </w:pPr>
    </w:p>
    <w:bookmarkStart w:id="177" w:name="page178"/>
    <w:bookmarkEnd w:id="177"/>
    <w:p>
      <w:pPr>
        <w:jc w:val="both"/>
        <w:ind w:left="660"/>
        <w:spacing w:after="0" w:line="223" w:lineRule="auto"/>
        <w:rPr>
          <w:sz w:val="20"/>
          <w:szCs w:val="20"/>
          <w:color w:val="auto"/>
        </w:rPr>
      </w:pPr>
      <w:r>
        <w:rPr>
          <w:rFonts w:ascii="Arial" w:cs="Arial" w:eastAsia="Arial" w:hAnsi="Arial"/>
          <w:sz w:val="22"/>
          <w:szCs w:val="22"/>
          <w:color w:val="auto"/>
        </w:rPr>
        <w:t>Philippine Security Documents and the payment of any required Philippines documentary, stamp or other tax) for the Philippines Secured Amount to be increased to the applicable amount set forth on the grid below corresponding to such percentage:</w:t>
      </w:r>
    </w:p>
    <w:p>
      <w:pPr>
        <w:spacing w:after="0" w:line="201" w:lineRule="exact"/>
        <w:rPr>
          <w:sz w:val="20"/>
          <w:szCs w:val="20"/>
          <w:color w:val="auto"/>
        </w:rPr>
      </w:pPr>
    </w:p>
    <w:tbl>
      <w:tblPr>
        <w:tblLayout w:type="fixed"/>
        <w:tblInd w:w="570" w:type="dxa"/>
        <w:tblCellMar>
          <w:top w:w="0" w:type="dxa"/>
          <w:left w:w="0" w:type="dxa"/>
          <w:bottom w:w="0" w:type="dxa"/>
          <w:right w:w="0" w:type="dxa"/>
        </w:tblCellMar>
      </w:tblPr>
      <w:tr>
        <w:trPr>
          <w:trHeight w:val="283"/>
        </w:trPr>
        <w:tc>
          <w:tcPr>
            <w:tcW w:w="4920" w:type="dxa"/>
            <w:vAlign w:val="bottom"/>
            <w:tcBorders>
              <w:top w:val="single" w:sz="8" w:color="auto"/>
              <w:left w:val="single" w:sz="8" w:color="auto"/>
              <w:bottom w:val="single" w:sz="8" w:color="auto"/>
              <w:right w:val="single" w:sz="8" w:color="auto"/>
            </w:tcBorders>
          </w:tcPr>
          <w:p>
            <w:pPr>
              <w:jc w:val="right"/>
              <w:ind w:right="412"/>
              <w:spacing w:after="0"/>
              <w:rPr>
                <w:sz w:val="20"/>
                <w:szCs w:val="20"/>
                <w:color w:val="auto"/>
              </w:rPr>
            </w:pPr>
            <w:r>
              <w:rPr>
                <w:rFonts w:ascii="Arial" w:cs="Arial" w:eastAsia="Arial" w:hAnsi="Arial"/>
                <w:sz w:val="22"/>
                <w:szCs w:val="22"/>
                <w:color w:val="auto"/>
                <w:w w:val="97"/>
              </w:rPr>
              <w:t>Percentage of Total Revenues or Total Assets</w:t>
            </w:r>
          </w:p>
        </w:tc>
        <w:tc>
          <w:tcPr>
            <w:tcW w:w="49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22"/>
                <w:szCs w:val="22"/>
                <w:color w:val="auto"/>
              </w:rPr>
              <w:t>Philippines Secured Amount</w:t>
            </w:r>
          </w:p>
        </w:tc>
      </w:tr>
      <w:tr>
        <w:trPr>
          <w:trHeight w:val="263"/>
        </w:trPr>
        <w:tc>
          <w:tcPr>
            <w:tcW w:w="4920" w:type="dxa"/>
            <w:vAlign w:val="bottom"/>
            <w:tcBorders>
              <w:left w:val="single" w:sz="8" w:color="auto"/>
              <w:bottom w:val="single" w:sz="8" w:color="auto"/>
              <w:right w:val="single" w:sz="8" w:color="auto"/>
            </w:tcBorders>
          </w:tcPr>
          <w:p>
            <w:pPr>
              <w:jc w:val="right"/>
              <w:ind w:right="4152"/>
              <w:spacing w:after="0"/>
              <w:rPr>
                <w:sz w:val="20"/>
                <w:szCs w:val="20"/>
                <w:color w:val="auto"/>
              </w:rPr>
            </w:pPr>
            <w:r>
              <w:rPr>
                <w:rFonts w:ascii="Arial" w:cs="Arial" w:eastAsia="Arial" w:hAnsi="Arial"/>
                <w:sz w:val="22"/>
                <w:szCs w:val="22"/>
                <w:color w:val="auto"/>
              </w:rPr>
              <w:t>&gt; 40%</w:t>
            </w:r>
          </w:p>
        </w:tc>
        <w:tc>
          <w:tcPr>
            <w:tcW w:w="4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$50,000,000</w:t>
            </w:r>
          </w:p>
        </w:tc>
      </w:tr>
      <w:tr>
        <w:trPr>
          <w:trHeight w:val="263"/>
        </w:trPr>
        <w:tc>
          <w:tcPr>
            <w:tcW w:w="4920" w:type="dxa"/>
            <w:vAlign w:val="bottom"/>
            <w:tcBorders>
              <w:left w:val="single" w:sz="8" w:color="auto"/>
              <w:bottom w:val="single" w:sz="8" w:color="auto"/>
              <w:right w:val="single" w:sz="8" w:color="auto"/>
            </w:tcBorders>
          </w:tcPr>
          <w:p>
            <w:pPr>
              <w:jc w:val="right"/>
              <w:ind w:right="4152"/>
              <w:spacing w:after="0"/>
              <w:rPr>
                <w:sz w:val="20"/>
                <w:szCs w:val="20"/>
                <w:color w:val="auto"/>
              </w:rPr>
            </w:pPr>
            <w:r>
              <w:rPr>
                <w:rFonts w:ascii="Arial" w:cs="Arial" w:eastAsia="Arial" w:hAnsi="Arial"/>
                <w:sz w:val="22"/>
                <w:szCs w:val="22"/>
                <w:color w:val="auto"/>
              </w:rPr>
              <w:t>&gt; 50%</w:t>
            </w:r>
          </w:p>
        </w:tc>
        <w:tc>
          <w:tcPr>
            <w:tcW w:w="4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$75,000,000</w:t>
            </w:r>
          </w:p>
        </w:tc>
      </w:tr>
      <w:tr>
        <w:trPr>
          <w:trHeight w:val="264"/>
        </w:trPr>
        <w:tc>
          <w:tcPr>
            <w:tcW w:w="4920" w:type="dxa"/>
            <w:vAlign w:val="bottom"/>
            <w:tcBorders>
              <w:left w:val="single" w:sz="8" w:color="auto"/>
              <w:bottom w:val="single" w:sz="8" w:color="auto"/>
              <w:right w:val="single" w:sz="8" w:color="auto"/>
            </w:tcBorders>
          </w:tcPr>
          <w:p>
            <w:pPr>
              <w:jc w:val="right"/>
              <w:ind w:right="4152"/>
              <w:spacing w:after="0"/>
              <w:rPr>
                <w:sz w:val="20"/>
                <w:szCs w:val="20"/>
                <w:color w:val="auto"/>
              </w:rPr>
            </w:pPr>
            <w:r>
              <w:rPr>
                <w:rFonts w:ascii="Arial" w:cs="Arial" w:eastAsia="Arial" w:hAnsi="Arial"/>
                <w:sz w:val="22"/>
                <w:szCs w:val="22"/>
                <w:color w:val="auto"/>
              </w:rPr>
              <w:t>&gt; 60%</w:t>
            </w:r>
          </w:p>
        </w:tc>
        <w:tc>
          <w:tcPr>
            <w:tcW w:w="4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$100,000,000</w:t>
            </w:r>
          </w:p>
        </w:tc>
      </w:tr>
      <w:tr>
        <w:trPr>
          <w:trHeight w:val="263"/>
        </w:trPr>
        <w:tc>
          <w:tcPr>
            <w:tcW w:w="4920" w:type="dxa"/>
            <w:vAlign w:val="bottom"/>
            <w:tcBorders>
              <w:left w:val="single" w:sz="8" w:color="auto"/>
              <w:bottom w:val="single" w:sz="8" w:color="auto"/>
              <w:right w:val="single" w:sz="8" w:color="auto"/>
            </w:tcBorders>
          </w:tcPr>
          <w:p>
            <w:pPr>
              <w:jc w:val="right"/>
              <w:ind w:right="4152"/>
              <w:spacing w:after="0"/>
              <w:rPr>
                <w:sz w:val="20"/>
                <w:szCs w:val="20"/>
                <w:color w:val="auto"/>
              </w:rPr>
            </w:pPr>
            <w:r>
              <w:rPr>
                <w:rFonts w:ascii="Arial" w:cs="Arial" w:eastAsia="Arial" w:hAnsi="Arial"/>
                <w:sz w:val="22"/>
                <w:szCs w:val="22"/>
                <w:color w:val="auto"/>
              </w:rPr>
              <w:t>&gt; 70%</w:t>
            </w:r>
          </w:p>
        </w:tc>
        <w:tc>
          <w:tcPr>
            <w:tcW w:w="4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$150,000,000</w:t>
            </w:r>
          </w:p>
        </w:tc>
      </w:tr>
      <w:tr>
        <w:trPr>
          <w:trHeight w:val="264"/>
        </w:trPr>
        <w:tc>
          <w:tcPr>
            <w:tcW w:w="4920" w:type="dxa"/>
            <w:vAlign w:val="bottom"/>
            <w:tcBorders>
              <w:left w:val="single" w:sz="8" w:color="auto"/>
              <w:bottom w:val="single" w:sz="8" w:color="auto"/>
              <w:right w:val="single" w:sz="8" w:color="auto"/>
            </w:tcBorders>
          </w:tcPr>
          <w:p>
            <w:pPr>
              <w:jc w:val="right"/>
              <w:ind w:right="4152"/>
              <w:spacing w:after="0"/>
              <w:rPr>
                <w:sz w:val="20"/>
                <w:szCs w:val="20"/>
                <w:color w:val="auto"/>
              </w:rPr>
            </w:pPr>
            <w:r>
              <w:rPr>
                <w:rFonts w:ascii="Arial" w:cs="Arial" w:eastAsia="Arial" w:hAnsi="Arial"/>
                <w:sz w:val="22"/>
                <w:szCs w:val="22"/>
                <w:color w:val="auto"/>
              </w:rPr>
              <w:t>&gt; 80%</w:t>
            </w:r>
          </w:p>
        </w:tc>
        <w:tc>
          <w:tcPr>
            <w:tcW w:w="4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$200,000,000</w:t>
            </w:r>
          </w:p>
        </w:tc>
      </w:tr>
    </w:tbl>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and</w:t>
      </w:r>
    </w:p>
    <w:p>
      <w:pPr>
        <w:spacing w:after="0" w:line="179" w:lineRule="exact"/>
        <w:rPr>
          <w:sz w:val="20"/>
          <w:szCs w:val="20"/>
          <w:color w:val="auto"/>
        </w:rPr>
      </w:pPr>
    </w:p>
    <w:p>
      <w:pPr>
        <w:jc w:val="both"/>
        <w:ind w:left="660" w:firstLine="644"/>
        <w:spacing w:after="0"/>
        <w:tabs>
          <w:tab w:leader="none" w:pos="184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Borrower shall cause the Administrative Agent’s security interest in the Philippines Collateral pursuant to the applicable Philippine Security Documents to be perfected as follows: (1) in the case of capital stock, through providing control arrangements under the Philippine Security Documents and delivery of the duly endorsed stock certificates to the Administrative Agent; (2) in the case of bank deposit or similar accounts, through the execution of control agreements in accordance with (and at all times following the execution of) the applicable Philippine Security Documents; (3) in the case of all other property and assets constituting Philippines Collateral subject of a security interest which can be perfected by means of a control agreement or possession (other than those assets referred to in (1) and (2)), if any, through execution of control agreements in accordance with (and at all times following the execution of) the applicable Philippine Security Documents or through delivery of possession to the Administrative Agent of such property or assets, as the case may be; and (4) in the case of all other property and assets constituting Philippines Collateral subject of a security interest which cannot be perfected by means of a control agreement or possession, by the registration of such security interests (in accordance with Philippines law) with (A) the Philippines Personal Property Security Registry (“</w:t>
      </w:r>
      <w:r>
        <w:rPr>
          <w:rFonts w:ascii="Arial" w:cs="Arial" w:eastAsia="Arial" w:hAnsi="Arial"/>
          <w:sz w:val="19"/>
          <w:szCs w:val="19"/>
          <w:b w:val="1"/>
          <w:bCs w:val="1"/>
          <w:color w:val="auto"/>
        </w:rPr>
        <w:t>PPSR</w:t>
      </w:r>
      <w:r>
        <w:rPr>
          <w:rFonts w:ascii="Arial" w:cs="Arial" w:eastAsia="Arial" w:hAnsi="Arial"/>
          <w:sz w:val="19"/>
          <w:szCs w:val="19"/>
          <w:color w:val="auto"/>
        </w:rPr>
        <w:t>”) within five business days of the PPSR becoming operational for the purpose of accepting registration of such security interests, or (B) in the event that such registration with the PPSR does not occur on or before the date that is six months after the Effective Date (or such later date as the Administrative Agent may approve), the Chattel Mortgage Registry (“</w:t>
      </w:r>
      <w:r>
        <w:rPr>
          <w:rFonts w:ascii="Arial" w:cs="Arial" w:eastAsia="Arial" w:hAnsi="Arial"/>
          <w:sz w:val="19"/>
          <w:szCs w:val="19"/>
          <w:b w:val="1"/>
          <w:bCs w:val="1"/>
          <w:color w:val="auto"/>
        </w:rPr>
        <w:t>CMR</w:t>
      </w:r>
      <w:r>
        <w:rPr>
          <w:rFonts w:ascii="Arial" w:cs="Arial" w:eastAsia="Arial" w:hAnsi="Arial"/>
          <w:sz w:val="19"/>
          <w:szCs w:val="19"/>
          <w:color w:val="auto"/>
        </w:rPr>
        <w:t xml:space="preserve">”) (in each case, together with payment of any applicable required registration or similar fees) (it being understood that (I) such registration with the PPSR or the CMR, as the case may be, shall be limited to the applicable Philippines Secured Amount at such time; and (II) if the Philippines Secured Amount is increased in accordance with </w:t>
      </w:r>
      <w:r>
        <w:rPr>
          <w:rFonts w:ascii="Arial" w:cs="Arial" w:eastAsia="Arial" w:hAnsi="Arial"/>
          <w:sz w:val="19"/>
          <w:szCs w:val="19"/>
          <w:u w:val="single" w:color="auto"/>
          <w:color w:val="auto"/>
        </w:rPr>
        <w:t>clause (f)(i)(A)</w:t>
      </w:r>
      <w:r>
        <w:rPr>
          <w:rFonts w:ascii="Arial" w:cs="Arial" w:eastAsia="Arial" w:hAnsi="Arial"/>
          <w:sz w:val="19"/>
          <w:szCs w:val="19"/>
          <w:color w:val="auto"/>
        </w:rPr>
        <w:t xml:space="preserve"> above, additional registration with the PPSR or the CMR (in each case, together with payment of any additional required registration or similar fees), as the case may be, shall be made at such time as the applicable actions referred to in </w:t>
      </w:r>
      <w:r>
        <w:rPr>
          <w:rFonts w:ascii="Arial" w:cs="Arial" w:eastAsia="Arial" w:hAnsi="Arial"/>
          <w:sz w:val="19"/>
          <w:szCs w:val="19"/>
          <w:u w:val="single" w:color="auto"/>
          <w:color w:val="auto"/>
        </w:rPr>
        <w:t>clause (f)(i)(A)</w:t>
      </w:r>
      <w:r>
        <w:rPr>
          <w:rFonts w:ascii="Arial" w:cs="Arial" w:eastAsia="Arial" w:hAnsi="Arial"/>
          <w:sz w:val="19"/>
          <w:szCs w:val="19"/>
          <w:color w:val="auto"/>
        </w:rPr>
        <w:t xml:space="preserve"> above are made in connection with such increase); and</w:t>
      </w:r>
    </w:p>
    <w:p>
      <w:pPr>
        <w:spacing w:after="0" w:line="382" w:lineRule="exact"/>
        <w:rPr>
          <w:sz w:val="20"/>
          <w:szCs w:val="20"/>
          <w:color w:val="auto"/>
        </w:rPr>
      </w:pPr>
    </w:p>
    <w:p>
      <w:pPr>
        <w:jc w:val="both"/>
        <w:ind w:firstLine="1304"/>
        <w:spacing w:after="0" w:line="218" w:lineRule="auto"/>
        <w:tabs>
          <w:tab w:leader="none" w:pos="198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At all times following the Effective Date until the date on which the applicable registration of the Administrative Agent’s security interest in the Philippines Collateral is made with the PPSR or the CMR in accordance with clause (i)(B) above, the Borrower will ensure that (notwithstanding the provisions of </w:t>
      </w:r>
      <w:r>
        <w:rPr>
          <w:rFonts w:ascii="Arial" w:cs="Arial" w:eastAsia="Arial" w:hAnsi="Arial"/>
          <w:sz w:val="22"/>
          <w:szCs w:val="22"/>
          <w:u w:val="single" w:color="auto"/>
          <w:color w:val="auto"/>
        </w:rPr>
        <w:t>Article 6</w:t>
      </w:r>
      <w:r>
        <w:rPr>
          <w:rFonts w:ascii="Arial" w:cs="Arial" w:eastAsia="Arial" w:hAnsi="Arial"/>
          <w:sz w:val="22"/>
          <w:szCs w:val="22"/>
          <w:color w:val="auto"/>
        </w:rPr>
        <w:t>) Fluence Energy Philippines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01" w:right="339" w:bottom="1440" w:gutter="0" w:footer="0" w:header="0"/>
        </w:sectPr>
      </w:pPr>
    </w:p>
    <w:bookmarkStart w:id="178" w:name="page179"/>
    <w:bookmarkEnd w:id="178"/>
    <w:p>
      <w:pPr>
        <w:jc w:val="both"/>
        <w:ind w:left="660" w:firstLine="644"/>
        <w:spacing w:after="0" w:line="268" w:lineRule="auto"/>
        <w:tabs>
          <w:tab w:leader="none" w:pos="1861" w:val="left"/>
        </w:tabs>
        <w:numPr>
          <w:ilvl w:val="1"/>
          <w:numId w:val="125"/>
        </w:numPr>
        <w:rPr>
          <w:rFonts w:ascii="Arial" w:cs="Arial" w:eastAsia="Arial" w:hAnsi="Arial"/>
          <w:sz w:val="19"/>
          <w:szCs w:val="19"/>
          <w:color w:val="auto"/>
        </w:rPr>
      </w:pPr>
      <w:r>
        <w:rPr>
          <w:rFonts w:ascii="Arial" w:cs="Arial" w:eastAsia="Arial" w:hAnsi="Arial"/>
          <w:sz w:val="19"/>
          <w:szCs w:val="19"/>
          <w:color w:val="auto"/>
        </w:rPr>
        <w:t>incur any Indebtedness for borrowed money or Guarantees with respect thereto, other than Indebtedness (i) under the Loan Documents, (ii) owed to the Borrower or any of its Subsidiaries, or (iii) in connection with credit card programs incurred in the ordinary course of business in a manner consistent with past practice;</w:t>
      </w:r>
    </w:p>
    <w:p>
      <w:pPr>
        <w:spacing w:after="0" w:line="132" w:lineRule="exact"/>
        <w:rPr>
          <w:rFonts w:ascii="Arial" w:cs="Arial" w:eastAsia="Arial" w:hAnsi="Arial"/>
          <w:sz w:val="19"/>
          <w:szCs w:val="19"/>
          <w:color w:val="auto"/>
        </w:rPr>
      </w:pPr>
    </w:p>
    <w:p>
      <w:pPr>
        <w:ind w:left="1840" w:hanging="536"/>
        <w:spacing w:after="0"/>
        <w:tabs>
          <w:tab w:leader="none" w:pos="184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create or suffer to exist any Lien on any property or asset now owned or hereafter acquired by it, other than</w:t>
      </w:r>
    </w:p>
    <w:p>
      <w:pPr>
        <w:spacing w:after="0" w:line="15" w:lineRule="exact"/>
        <w:rPr>
          <w:rFonts w:ascii="Arial" w:cs="Arial" w:eastAsia="Arial" w:hAnsi="Arial"/>
          <w:sz w:val="19"/>
          <w:szCs w:val="19"/>
          <w:color w:val="auto"/>
        </w:rPr>
      </w:pPr>
    </w:p>
    <w:p>
      <w:pPr>
        <w:ind w:left="660" w:hanging="4"/>
        <w:spacing w:after="0" w:line="224" w:lineRule="auto"/>
        <w:tabs>
          <w:tab w:leader="none" w:pos="97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security interests created under the Security Documents and (ii) Permitted Encumbrances which do not secure Indebtedness for borrowed money; or</w:t>
      </w:r>
    </w:p>
    <w:p>
      <w:pPr>
        <w:spacing w:after="0" w:line="157" w:lineRule="exact"/>
        <w:rPr>
          <w:rFonts w:ascii="Arial" w:cs="Arial" w:eastAsia="Arial" w:hAnsi="Arial"/>
          <w:sz w:val="22"/>
          <w:szCs w:val="22"/>
          <w:color w:val="auto"/>
        </w:rPr>
      </w:pPr>
    </w:p>
    <w:p>
      <w:pPr>
        <w:jc w:val="both"/>
        <w:ind w:left="660" w:firstLine="644"/>
        <w:spacing w:after="0" w:line="242" w:lineRule="auto"/>
        <w:tabs>
          <w:tab w:leader="none" w:pos="2003"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engage in any material business activity or acquire any material assets other than (i) performing its obligations under customer supply and other agreements to which it is a party on the Effective Date, (ii) performing its obligations under the Loan Documents and other Indebtedness and Liens (including the granting of Liens which are Permitted Encumbrances) permitted by this </w:t>
      </w:r>
      <w:r>
        <w:rPr>
          <w:rFonts w:ascii="Arial" w:cs="Arial" w:eastAsia="Arial" w:hAnsi="Arial"/>
          <w:sz w:val="19"/>
          <w:szCs w:val="19"/>
          <w:u w:val="single" w:color="auto"/>
          <w:color w:val="auto"/>
        </w:rPr>
        <w:t>Section 5.11(f)</w:t>
      </w:r>
      <w:r>
        <w:rPr>
          <w:rFonts w:ascii="Arial" w:cs="Arial" w:eastAsia="Arial" w:hAnsi="Arial"/>
          <w:sz w:val="19"/>
          <w:szCs w:val="19"/>
          <w:color w:val="auto"/>
        </w:rPr>
        <w:t>; (iii) paying dividends with respect to its own Equity Interests;</w:t>
      </w:r>
    </w:p>
    <w:p>
      <w:pPr>
        <w:ind w:left="1020" w:hanging="364"/>
        <w:spacing w:after="0" w:line="237" w:lineRule="auto"/>
        <w:tabs>
          <w:tab w:leader="none" w:pos="10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filing tax reports and paying Taxes and other customary obligations in the ordinary course (and contesting any Taxes);</w:t>
      </w:r>
    </w:p>
    <w:p>
      <w:pPr>
        <w:jc w:val="both"/>
        <w:ind w:left="660" w:hanging="4"/>
        <w:spacing w:after="0" w:line="237" w:lineRule="auto"/>
        <w:tabs>
          <w:tab w:leader="none" w:pos="106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preparing reports to Governmental Authorities; (vi) holding director and shareholder meetings, preparing organizational records and other organizational activities required to maintain its separate organizational structure or to comply with applicable laws; (vii) holding cash and Cash Equivalents including maintaining bank deposit and securities accounts, (viii) providing indemnification for its officers, directors, members of management, employees and advisors or consultants and other ordinary course obligations; (ix) participating in tax, accounting and other administrative matters;</w:t>
      </w:r>
    </w:p>
    <w:p>
      <w:pPr>
        <w:spacing w:after="0" w:line="1" w:lineRule="exact"/>
        <w:rPr>
          <w:rFonts w:ascii="Arial" w:cs="Arial" w:eastAsia="Arial" w:hAnsi="Arial"/>
          <w:sz w:val="19"/>
          <w:szCs w:val="19"/>
          <w:color w:val="auto"/>
        </w:rPr>
      </w:pPr>
    </w:p>
    <w:p>
      <w:pPr>
        <w:jc w:val="both"/>
        <w:ind w:left="660" w:hanging="4"/>
        <w:spacing w:after="0" w:line="212" w:lineRule="auto"/>
        <w:tabs>
          <w:tab w:leader="none" w:pos="1012"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performance of its obligations under any document or agreement contemplated by this </w:t>
      </w:r>
      <w:r>
        <w:rPr>
          <w:rFonts w:ascii="Arial" w:cs="Arial" w:eastAsia="Arial" w:hAnsi="Arial"/>
          <w:sz w:val="22"/>
          <w:szCs w:val="22"/>
          <w:u w:val="single" w:color="auto"/>
          <w:color w:val="auto"/>
        </w:rPr>
        <w:t>Section 5.11(f)</w:t>
      </w:r>
      <w:r>
        <w:rPr>
          <w:rFonts w:ascii="Arial" w:cs="Arial" w:eastAsia="Arial" w:hAnsi="Arial"/>
          <w:sz w:val="22"/>
          <w:szCs w:val="22"/>
          <w:color w:val="auto"/>
        </w:rPr>
        <w:t>; (xi) complying with applicable laws (including with respect to the maintenance of its corporate existence and activities incidental thereto); (xii) the maintenance of its legal existence (including the ability to incur and pay, as applicable, fees, costs and expenses and taxes related to such maintenance); and (xiii) activities incidental or reasonably related to any of the foregoing.</w:t>
      </w:r>
    </w:p>
    <w:p>
      <w:pPr>
        <w:spacing w:after="0" w:line="16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Cash Management</w:t>
      </w:r>
      <w:r>
        <w:rPr>
          <w:rFonts w:ascii="Arial" w:cs="Arial" w:eastAsia="Arial" w:hAnsi="Arial"/>
          <w:sz w:val="21"/>
          <w:szCs w:val="21"/>
          <w:color w:val="auto"/>
        </w:rPr>
        <w:t xml:space="preserve">. The Parent shall, and shall cause each other U.S. Loan Party to, maintain all cash management and treasury business with the Lenders or Permitted Third Party Banks, including, without limitation, all deposit accounts, disbursement accounts, investment accounts and lockbox accounts which, as of the Effective Date, are specified in </w:t>
      </w:r>
      <w:r>
        <w:rPr>
          <w:rFonts w:ascii="Arial" w:cs="Arial" w:eastAsia="Arial" w:hAnsi="Arial"/>
          <w:sz w:val="21"/>
          <w:szCs w:val="21"/>
          <w:u w:val="single" w:color="auto"/>
          <w:color w:val="auto"/>
        </w:rPr>
        <w:t>Schedule 3.9</w:t>
      </w:r>
      <w:r>
        <w:rPr>
          <w:rFonts w:ascii="Arial" w:cs="Arial" w:eastAsia="Arial" w:hAnsi="Arial"/>
          <w:sz w:val="21"/>
          <w:szCs w:val="21"/>
          <w:color w:val="auto"/>
        </w:rPr>
        <w:t xml:space="preserve"> of the Security Agreement (other than any Unrestricted Account) (each such deposit account, disbursement account, investment account and lockbox account, a “</w:t>
      </w:r>
      <w:r>
        <w:rPr>
          <w:rFonts w:ascii="Arial" w:cs="Arial" w:eastAsia="Arial" w:hAnsi="Arial"/>
          <w:sz w:val="21"/>
          <w:szCs w:val="21"/>
          <w:b w:val="1"/>
          <w:bCs w:val="1"/>
          <w:color w:val="auto"/>
        </w:rPr>
        <w:t>Controlled Account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within ninety (90) days following the Effective Date (or, if any such Controlled Account is opened after the Effective Date, within ninety (90) days after such account is opened) (or such later time as may be agreed by the Administrative Agent in its reasonable discretion), each such Controlled Account shall be subject to a Control Account Agreement.</w:t>
      </w:r>
    </w:p>
    <w:p>
      <w:pPr>
        <w:spacing w:after="0" w:line="14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 Promptly upon the reasonable request by the Administrative Agent, the Borrower will</w:t>
      </w:r>
    </w:p>
    <w:p>
      <w:pPr>
        <w:jc w:val="both"/>
        <w:ind w:firstLine="8"/>
        <w:spacing w:after="0" w:line="243" w:lineRule="auto"/>
        <w:tabs>
          <w:tab w:leader="none" w:pos="31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correct any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perfect and maintain the validity, effectiveness and priority of any of the Security Documents and any of the Liens created thereunder and (ii) assure, preserve, protect and confirm more effectively unto the Lenders, or the Administrative Agent for the benefit of the Lenders, the rights granted to the Lenders, or the Administrative Agent for the benefit of the Lenders, under any Loan Document or under any other instrument executed in connection with any Loan Document to which any Loan Party or any of its Subsidiaries is or is to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01" w:right="339" w:bottom="1440" w:gutter="0" w:footer="0" w:header="0"/>
        </w:sectPr>
      </w:pPr>
    </w:p>
    <w:bookmarkStart w:id="179" w:name="page180"/>
    <w:bookmarkEnd w:id="179"/>
    <w:p>
      <w:pPr>
        <w:jc w:val="both"/>
        <w:ind w:firstLine="648"/>
        <w:spacing w:after="0" w:line="257"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Accuracy of Information</w:t>
      </w:r>
      <w:r>
        <w:rPr>
          <w:rFonts w:ascii="Arial" w:cs="Arial" w:eastAsia="Arial" w:hAnsi="Arial"/>
          <w:sz w:val="19"/>
          <w:szCs w:val="19"/>
          <w:color w:val="auto"/>
        </w:rPr>
        <w:t>. The Borrower will ensure that any information, including financial statements or other documents, furnished to the Administrative Agent or the Lenders in connection with this Agreement or any amendment or modification hereof or waiver hereunder contains no material misstatement of fact or omits to state any material fact necessary to make the statements therein, in the light of the circumstances under which they were made, not materially misleading.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or otherwise satisfied, and (iii) all Letters of Credit shall have (x) expired or terminated, in each case, without any pending draw, (y) been backstopped or Cash Collateralized in an amount not less than the Minimum Collateral Amount or (z) been deemed reissued under another agreement reasonably acceptable to the applicable Issuing Bank, the Parent and the Borrower, as applicable, covenant and agree with the Lenders that:</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The Borrower will not, and will not permit any Subsidiary to, create, incur, assume or permit to exist any Indebtedness other than:</w:t>
      </w:r>
    </w:p>
    <w:p>
      <w:pPr>
        <w:spacing w:after="0" w:line="159" w:lineRule="exact"/>
        <w:rPr>
          <w:sz w:val="20"/>
          <w:szCs w:val="20"/>
          <w:color w:val="auto"/>
        </w:rPr>
      </w:pPr>
    </w:p>
    <w:p>
      <w:pPr>
        <w:ind w:left="1120" w:hanging="464"/>
        <w:spacing w:after="0"/>
        <w:tabs>
          <w:tab w:leader="none" w:pos="112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Indebtedness existing on the date hereof and set forth in </w:t>
      </w:r>
      <w:r>
        <w:rPr>
          <w:rFonts w:ascii="Arial" w:cs="Arial" w:eastAsia="Arial" w:hAnsi="Arial"/>
          <w:sz w:val="19"/>
          <w:szCs w:val="19"/>
          <w:u w:val="single" w:color="auto"/>
          <w:color w:val="auto"/>
        </w:rPr>
        <w:t>Schedule 6.01</w:t>
      </w:r>
      <w:r>
        <w:rPr>
          <w:rFonts w:ascii="Arial" w:cs="Arial" w:eastAsia="Arial" w:hAnsi="Arial"/>
          <w:sz w:val="19"/>
          <w:szCs w:val="19"/>
          <w:color w:val="auto"/>
        </w:rPr>
        <w:t xml:space="preserve"> and any Permitted Refinancing thereof;</w:t>
      </w:r>
    </w:p>
    <w:p>
      <w:pPr>
        <w:spacing w:after="0" w:line="213" w:lineRule="exact"/>
        <w:rPr>
          <w:rFonts w:ascii="Arial" w:cs="Arial" w:eastAsia="Arial" w:hAnsi="Arial"/>
          <w:sz w:val="19"/>
          <w:szCs w:val="19"/>
          <w:color w:val="auto"/>
        </w:rPr>
      </w:pPr>
    </w:p>
    <w:p>
      <w:pPr>
        <w:ind w:firstLine="656"/>
        <w:spacing w:after="0" w:line="298" w:lineRule="auto"/>
        <w:tabs>
          <w:tab w:leader="none" w:pos="113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 Indebtedness of the Borrower owing to any Subsidiary and of any Subsidiary owing to the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permitted by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(ii) Indebtedness of the Borrower owing to Parent;</w:t>
      </w:r>
    </w:p>
    <w:p>
      <w:pPr>
        <w:spacing w:after="0" w:line="105" w:lineRule="exact"/>
        <w:rPr>
          <w:rFonts w:ascii="Arial" w:cs="Arial" w:eastAsia="Arial" w:hAnsi="Arial"/>
          <w:sz w:val="19"/>
          <w:szCs w:val="19"/>
          <w:color w:val="auto"/>
        </w:rPr>
      </w:pPr>
    </w:p>
    <w:p>
      <w:pPr>
        <w:ind w:firstLine="656"/>
        <w:spacing w:after="0" w:line="247" w:lineRule="auto"/>
        <w:tabs>
          <w:tab w:leader="none" w:pos="1253"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Guarantees by the Borrower of Indebtedness of any Subsidiary and by any Subsidiary of Indebtedness of the Borrower or any other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Guarantees are permitted by </w:t>
      </w:r>
      <w:r>
        <w:rPr>
          <w:rFonts w:ascii="Arial" w:cs="Arial" w:eastAsia="Arial" w:hAnsi="Arial"/>
          <w:sz w:val="21"/>
          <w:szCs w:val="21"/>
          <w:u w:val="single" w:color="auto"/>
          <w:color w:val="auto"/>
        </w:rPr>
        <w:t>Section 6.04</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firstLine="656"/>
        <w:spacing w:after="0" w:line="218" w:lineRule="auto"/>
        <w:tabs>
          <w:tab w:leader="none" w:pos="129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xml:space="preserve">Indebtedness of the Borrower or any Subsidiary constituting Capital Lease Obligations and Purchase Money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principal amount of Indebtedness pursuant to this clause (d) shall not exceed in an aggregate principal amount at any time outstanding the greater of (i) $17,500,000 and (ii) 2.5% of the Total Assets at any time outstanding;</w:t>
      </w:r>
    </w:p>
    <w:p>
      <w:pPr>
        <w:spacing w:after="0" w:line="160" w:lineRule="exact"/>
        <w:rPr>
          <w:rFonts w:ascii="Arial" w:cs="Arial" w:eastAsia="Arial" w:hAnsi="Arial"/>
          <w:sz w:val="22"/>
          <w:szCs w:val="22"/>
          <w:color w:val="auto"/>
        </w:rPr>
      </w:pPr>
    </w:p>
    <w:p>
      <w:pPr>
        <w:jc w:val="both"/>
        <w:ind w:firstLine="656"/>
        <w:spacing w:after="0" w:line="247" w:lineRule="auto"/>
        <w:tabs>
          <w:tab w:leader="none" w:pos="1192"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Subsidiary in an aggregate principal amount at any time outstanding not to exceed the greater of (i) $69,500,000 and (ii) 10% of the Total Assets at any time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w:t>
      </w:r>
    </w:p>
    <w:p>
      <w:pPr>
        <w:jc w:val="both"/>
        <w:ind w:firstLine="8"/>
        <w:spacing w:after="0" w:line="228" w:lineRule="auto"/>
        <w:tabs>
          <w:tab w:leader="none" w:pos="308"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if incurred or guaranteed only by Loan Parties, is either unsecured or secured by a Lien permitted pursuant to </w:t>
      </w:r>
      <w:r>
        <w:rPr>
          <w:rFonts w:ascii="Arial" w:cs="Arial" w:eastAsia="Arial" w:hAnsi="Arial"/>
          <w:sz w:val="21"/>
          <w:szCs w:val="21"/>
          <w:u w:val="single" w:color="auto"/>
          <w:color w:val="auto"/>
        </w:rPr>
        <w:t>Section 6.02(o),</w:t>
      </w:r>
      <w:r>
        <w:rPr>
          <w:rFonts w:ascii="Arial" w:cs="Arial" w:eastAsia="Arial" w:hAnsi="Arial"/>
          <w:sz w:val="21"/>
          <w:szCs w:val="21"/>
          <w:color w:val="auto"/>
        </w:rPr>
        <w:t xml:space="preserve"> and (y) if incurred or guaranteed by any Subsidiary that is not a Guarantor, the aggregate principal amount thereof shall not exceed the greater of (i) $10,500,000 and (ii) 1.5% of the Total Assets at any time outstanding;</w:t>
      </w:r>
    </w:p>
    <w:p>
      <w:pPr>
        <w:spacing w:after="0" w:line="157" w:lineRule="exact"/>
        <w:rPr>
          <w:rFonts w:ascii="Arial" w:cs="Arial" w:eastAsia="Arial" w:hAnsi="Arial"/>
          <w:sz w:val="21"/>
          <w:szCs w:val="21"/>
          <w:color w:val="auto"/>
        </w:rPr>
      </w:pPr>
    </w:p>
    <w:p>
      <w:pPr>
        <w:jc w:val="both"/>
        <w:ind w:firstLine="656"/>
        <w:spacing w:after="0" w:line="247" w:lineRule="auto"/>
        <w:tabs>
          <w:tab w:leader="none" w:pos="123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Indebtedness of the Borrower or any Subsidiary so long as the Consolidated Leverage Ratio does not exceed 2.50:1.00 after giving Pro Forma Effect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incurred or guaranteed pursuant to this </w:t>
      </w:r>
      <w:r>
        <w:rPr>
          <w:rFonts w:ascii="Arial" w:cs="Arial" w:eastAsia="Arial" w:hAnsi="Arial"/>
          <w:sz w:val="19"/>
          <w:szCs w:val="19"/>
          <w:u w:val="single" w:color="auto"/>
          <w:color w:val="auto"/>
        </w:rPr>
        <w:t>clause (f)</w:t>
      </w:r>
    </w:p>
    <w:p>
      <w:pPr>
        <w:ind w:left="280" w:hanging="272"/>
        <w:spacing w:after="0" w:line="237" w:lineRule="auto"/>
        <w:tabs>
          <w:tab w:leader="none" w:pos="2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is incurred or guaranteed solely by Loan Parties, (ii) is unsecured, (iii) shall not mature prior to the Maturity Date, (iv) either</w:t>
      </w:r>
    </w:p>
    <w:p>
      <w:pPr>
        <w:jc w:val="both"/>
        <w:ind w:firstLine="8"/>
        <w:spacing w:after="0" w:line="217" w:lineRule="auto"/>
        <w:tabs>
          <w:tab w:leader="none" w:pos="33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shall not require any payment of principal prior to the Maturity Date or (y) shall not require payments of principal in an aggregate amount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in excess of 1.0% of the principal amount thereof and (v) contains terms customary for similar issuances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01" w:right="339" w:bottom="1440" w:gutter="0" w:footer="0" w:header="0"/>
        </w:sectPr>
      </w:pPr>
    </w:p>
    <w:bookmarkStart w:id="180" w:name="page181"/>
    <w:bookmarkEnd w:id="180"/>
    <w:p>
      <w:pPr>
        <w:jc w:val="both"/>
        <w:spacing w:after="0" w:line="229" w:lineRule="auto"/>
        <w:rPr>
          <w:sz w:val="20"/>
          <w:szCs w:val="20"/>
          <w:color w:val="auto"/>
        </w:rPr>
      </w:pPr>
      <w:r>
        <w:rPr>
          <w:rFonts w:ascii="Arial" w:cs="Arial" w:eastAsia="Arial" w:hAnsi="Arial"/>
          <w:sz w:val="21"/>
          <w:szCs w:val="21"/>
          <w:color w:val="auto"/>
        </w:rPr>
        <w:t>at such time (as determined in good faith by the Borrower) (it being understood that, other than in the case of any issuance of a debt security, such terms shall be no more restrictive, taken as a whole (as determined in good faith by the Borrower), than the Loans, and in any event no such Indebtedness (including any debt securities) shall contain a financial maintenance covenant more restrictive than any financial maintenance covenant contained herein));</w:t>
      </w:r>
    </w:p>
    <w:p>
      <w:pPr>
        <w:spacing w:after="0" w:line="158" w:lineRule="exact"/>
        <w:rPr>
          <w:sz w:val="20"/>
          <w:szCs w:val="20"/>
          <w:color w:val="auto"/>
        </w:rPr>
      </w:pPr>
    </w:p>
    <w:p>
      <w:pPr>
        <w:ind w:firstLine="656"/>
        <w:spacing w:after="0" w:line="232" w:lineRule="auto"/>
        <w:tabs>
          <w:tab w:leader="none" w:pos="1241" w:val="left"/>
        </w:tabs>
        <w:numPr>
          <w:ilvl w:val="1"/>
          <w:numId w:val="134"/>
        </w:numPr>
        <w:rPr>
          <w:rFonts w:ascii="Arial" w:cs="Arial" w:eastAsia="Arial" w:hAnsi="Arial"/>
          <w:sz w:val="22"/>
          <w:szCs w:val="22"/>
          <w:color w:val="auto"/>
        </w:rPr>
      </w:pPr>
      <w:r>
        <w:rPr>
          <w:rFonts w:ascii="Arial" w:cs="Arial" w:eastAsia="Arial" w:hAnsi="Arial"/>
          <w:sz w:val="22"/>
          <w:szCs w:val="22"/>
          <w:color w:val="auto"/>
        </w:rPr>
        <w:t>unsecured Indebtedness of the Borrower or any Subsidiary in an aggregate principal amount not to exceed the greater of (i) $17,500,000 and (ii) 2.5% of the Total Assets at any time outstanding;</w:t>
      </w:r>
    </w:p>
    <w:p>
      <w:pPr>
        <w:spacing w:after="0" w:line="158" w:lineRule="exact"/>
        <w:rPr>
          <w:rFonts w:ascii="Arial" w:cs="Arial" w:eastAsia="Arial" w:hAnsi="Arial"/>
          <w:sz w:val="22"/>
          <w:szCs w:val="22"/>
          <w:color w:val="auto"/>
        </w:rPr>
      </w:pPr>
    </w:p>
    <w:p>
      <w:pPr>
        <w:ind w:left="1160" w:hanging="504"/>
        <w:spacing w:after="0"/>
        <w:tabs>
          <w:tab w:leader="none" w:pos="11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Indebtedness of Subsidiaries that are not Loan Parties in an aggregate principal amount not to exceed the greater of</w:t>
      </w:r>
    </w:p>
    <w:p>
      <w:pPr>
        <w:spacing w:after="0" w:line="15" w:lineRule="exact"/>
        <w:rPr>
          <w:rFonts w:ascii="Arial" w:cs="Arial" w:eastAsia="Arial" w:hAnsi="Arial"/>
          <w:sz w:val="19"/>
          <w:szCs w:val="19"/>
          <w:color w:val="auto"/>
        </w:rPr>
      </w:pPr>
    </w:p>
    <w:p>
      <w:pPr>
        <w:ind w:left="260" w:hanging="252"/>
        <w:spacing w:after="0"/>
        <w:tabs>
          <w:tab w:leader="none" w:pos="2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$8,750,000 and (ii) 1.25% of the Total Assets at any time outstanding;</w:t>
      </w:r>
    </w:p>
    <w:p>
      <w:pPr>
        <w:spacing w:after="0" w:line="161" w:lineRule="exact"/>
        <w:rPr>
          <w:rFonts w:ascii="Arial" w:cs="Arial" w:eastAsia="Arial" w:hAnsi="Arial"/>
          <w:sz w:val="22"/>
          <w:szCs w:val="22"/>
          <w:color w:val="auto"/>
        </w:rPr>
      </w:pPr>
    </w:p>
    <w:p>
      <w:pPr>
        <w:jc w:val="both"/>
        <w:ind w:firstLine="656"/>
        <w:spacing w:after="0" w:line="223" w:lineRule="auto"/>
        <w:tabs>
          <w:tab w:leader="none" w:pos="116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Indebtedness incurred pursuant to any agreement or arrangement to provide ordinary course facilities or services related to cash management, including treasury, depository, overdraft, credit or debit card, purchase card, electronic funds transfer and other cash management arrangements;</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Obligations under the Loan Documents;</w:t>
      </w:r>
    </w:p>
    <w:p>
      <w:pPr>
        <w:spacing w:after="0" w:line="179" w:lineRule="exact"/>
        <w:rPr>
          <w:rFonts w:ascii="Arial" w:cs="Arial" w:eastAsia="Arial" w:hAnsi="Arial"/>
          <w:sz w:val="22"/>
          <w:szCs w:val="22"/>
          <w:color w:val="auto"/>
        </w:rPr>
      </w:pPr>
    </w:p>
    <w:p>
      <w:pPr>
        <w:jc w:val="both"/>
        <w:ind w:firstLine="656"/>
        <w:spacing w:after="0" w:line="247" w:lineRule="auto"/>
        <w:tabs>
          <w:tab w:leader="none" w:pos="1122"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Indebtedness incurred under the Citi Supplier Financing Agreement, only to the extent (i) such agreement pertains to ordinary course supplier financing arrangements and (ii) the aggregate principal amount of Indebtedness outstanding thereunder does not exceed $200.0 million at any time; provided, however, that the Borrower shall be in compliance with Section 6.10 on a Pro Forma Basis on each date that it incurs Indebtedness under the Citi Supplier Financing Agreement that results in the outstanding amount thereunder exceeding $100.0 million (such excess amount, the “</w:t>
      </w:r>
      <w:r>
        <w:rPr>
          <w:rFonts w:ascii="Arial" w:cs="Arial" w:eastAsia="Arial" w:hAnsi="Arial"/>
          <w:sz w:val="19"/>
          <w:szCs w:val="19"/>
          <w:u w:val="single" w:color="auto"/>
          <w:color w:val="auto"/>
        </w:rPr>
        <w:t>Supplier Financing Excess Amount</w:t>
      </w:r>
      <w:r>
        <w:rPr>
          <w:rFonts w:ascii="Arial" w:cs="Arial" w:eastAsia="Arial" w:hAnsi="Arial"/>
          <w:sz w:val="19"/>
          <w:szCs w:val="19"/>
          <w:color w:val="auto"/>
        </w:rPr>
        <w:t>”), it being understood and agreed that solely for the purposes of such pro forma calculation the amount of “Total Liquidity” shall be deemed reduced by the Supplier Financing Excess Amount then outstanding;</w:t>
      </w:r>
    </w:p>
    <w:p>
      <w:pPr>
        <w:spacing w:after="0" w:line="153" w:lineRule="exact"/>
        <w:rPr>
          <w:rFonts w:ascii="Arial" w:cs="Arial" w:eastAsia="Arial" w:hAnsi="Arial"/>
          <w:sz w:val="19"/>
          <w:szCs w:val="19"/>
          <w:color w:val="auto"/>
        </w:rPr>
      </w:pPr>
    </w:p>
    <w:p>
      <w:pPr>
        <w:jc w:val="both"/>
        <w:ind w:firstLine="656"/>
        <w:spacing w:after="0" w:line="218" w:lineRule="auto"/>
        <w:tabs>
          <w:tab w:leader="none" w:pos="1278"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Indebtedness of the Borrower or any Subsidiary in connection with one or more letters of credit, bankers’ acceptances, worker’s compensation claims, surety bonds, appeal bonds, performance bonds or completion guarantees issued in the ordinary course of business or pursuant to self-insurance and similar obligations and not in connection with the borrowing of money or the obtaining of advances or credit;</w:t>
      </w:r>
    </w:p>
    <w:p>
      <w:pPr>
        <w:spacing w:after="0" w:line="160" w:lineRule="exact"/>
        <w:rPr>
          <w:rFonts w:ascii="Arial" w:cs="Arial" w:eastAsia="Arial" w:hAnsi="Arial"/>
          <w:sz w:val="22"/>
          <w:szCs w:val="22"/>
          <w:color w:val="auto"/>
        </w:rPr>
      </w:pPr>
    </w:p>
    <w:p>
      <w:pPr>
        <w:jc w:val="both"/>
        <w:ind w:firstLine="656"/>
        <w:spacing w:after="0" w:line="216" w:lineRule="auto"/>
        <w:tabs>
          <w:tab w:leader="none" w:pos="1285"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Subject to the Borrower being in compliance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on a Pro Forma Basis, (i) Indebtedness of any Person acquired by, or merged into or consolidated or amalgamated with, the Borrower or any Subsidiary after the Effective Date as part of an Investment otherwise permitted by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exists at the time such Person becomes a Subsidiary and is not created in contemplation of, or in connection with, such Person becoming a Subsidiary); and (ii) any Permitted Refinancing thereof;</w:t>
      </w:r>
    </w:p>
    <w:p>
      <w:pPr>
        <w:spacing w:after="0" w:line="157" w:lineRule="exact"/>
        <w:rPr>
          <w:rFonts w:ascii="Arial" w:cs="Arial" w:eastAsia="Arial" w:hAnsi="Arial"/>
          <w:sz w:val="22"/>
          <w:szCs w:val="22"/>
          <w:color w:val="auto"/>
        </w:rPr>
      </w:pPr>
    </w:p>
    <w:p>
      <w:pPr>
        <w:ind w:left="1120" w:hanging="464"/>
        <w:spacing w:after="0"/>
        <w:tabs>
          <w:tab w:leader="none" w:pos="112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obligations under Swap Agreements entered into by the Borrower or its Subsidiaries not for speculative purposes;</w:t>
      </w:r>
    </w:p>
    <w:p>
      <w:pPr>
        <w:spacing w:after="0" w:line="213" w:lineRule="exact"/>
        <w:rPr>
          <w:rFonts w:ascii="Arial" w:cs="Arial" w:eastAsia="Arial" w:hAnsi="Arial"/>
          <w:sz w:val="19"/>
          <w:szCs w:val="19"/>
          <w:color w:val="auto"/>
        </w:rPr>
      </w:pPr>
    </w:p>
    <w:p>
      <w:pPr>
        <w:jc w:val="both"/>
        <w:ind w:firstLine="656"/>
        <w:spacing w:after="0" w:line="223" w:lineRule="auto"/>
        <w:tabs>
          <w:tab w:leader="none" w:pos="1122"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Indebtedness arising from the honoring by a bank or other financial institution of a check, draft or similar instrument drawn against insufficient funds in the ordinary course of business or other cash management services in the ordinary course of business;</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66"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Indebtedness arising from agreements of the Borrower or any Subsidiary providing for deferred purchase price for goods or services, earnouts, indemnification, adjustment of purchase price, seller notes or similar obligations, in each case,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01" w:right="339" w:bottom="1440" w:gutter="0" w:footer="0" w:header="0"/>
        </w:sectPr>
      </w:pPr>
    </w:p>
    <w:bookmarkStart w:id="181" w:name="page182"/>
    <w:bookmarkEnd w:id="181"/>
    <w:p>
      <w:pPr>
        <w:spacing w:after="0" w:line="232" w:lineRule="auto"/>
        <w:rPr>
          <w:sz w:val="20"/>
          <w:szCs w:val="20"/>
          <w:color w:val="auto"/>
        </w:rPr>
      </w:pPr>
      <w:r>
        <w:rPr>
          <w:rFonts w:ascii="Arial" w:cs="Arial" w:eastAsia="Arial" w:hAnsi="Arial"/>
          <w:sz w:val="22"/>
          <w:szCs w:val="22"/>
          <w:color w:val="auto"/>
        </w:rPr>
        <w:t>assumed in connection with the acquisition or Disposition of any business, assets or Person otherwise permitted by this Agreement;</w:t>
      </w:r>
    </w:p>
    <w:p>
      <w:pPr>
        <w:spacing w:after="0" w:line="159" w:lineRule="exact"/>
        <w:rPr>
          <w:sz w:val="20"/>
          <w:szCs w:val="20"/>
          <w:color w:val="auto"/>
        </w:rPr>
      </w:pPr>
    </w:p>
    <w:p>
      <w:pPr>
        <w:ind w:firstLine="656"/>
        <w:spacing w:after="0" w:line="232" w:lineRule="auto"/>
        <w:tabs>
          <w:tab w:leader="none" w:pos="124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Indebtedness consisting of the financing of insurance premiums or take-or-pay obligations contained in supply arrangements; and</w:t>
      </w:r>
    </w:p>
    <w:p>
      <w:pPr>
        <w:spacing w:after="0" w:line="158" w:lineRule="exact"/>
        <w:rPr>
          <w:rFonts w:ascii="Arial" w:cs="Arial" w:eastAsia="Arial" w:hAnsi="Arial"/>
          <w:sz w:val="22"/>
          <w:szCs w:val="22"/>
          <w:color w:val="auto"/>
        </w:rPr>
      </w:pPr>
    </w:p>
    <w:p>
      <w:pPr>
        <w:ind w:firstLine="656"/>
        <w:spacing w:after="0" w:line="232" w:lineRule="auto"/>
        <w:tabs>
          <w:tab w:leader="none" w:pos="1263"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Indebtedness representing deferred compensation to employees, consultants or independent contractors of the Borrower or any Subsidiary incurred in the ordinary course of business.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Notwithstanding the foregoing, any Indebtedness owed by a Loan Party to a Subsidiary that is not a Loan Party shall be permitted only to the extent subordinated to the Obligations on customary terms reasonably satisfactory to the Administrative Agent.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and will not permit any Subsidiary to, create, incur, assume or permit to exist any Lien on any property or asset now owned or hereafter acquired by it except:</w:t>
      </w:r>
    </w:p>
    <w:p>
      <w:pPr>
        <w:spacing w:after="0" w:line="159" w:lineRule="exact"/>
        <w:rPr>
          <w:sz w:val="20"/>
          <w:szCs w:val="20"/>
          <w:color w:val="auto"/>
        </w:rPr>
      </w:pPr>
    </w:p>
    <w:p>
      <w:pPr>
        <w:ind w:left="1120" w:hanging="464"/>
        <w:spacing w:after="0"/>
        <w:tabs>
          <w:tab w:leader="none" w:pos="112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Permitted Encumbrances;</w:t>
      </w:r>
    </w:p>
    <w:p>
      <w:pPr>
        <w:spacing w:after="0" w:line="179" w:lineRule="exact"/>
        <w:rPr>
          <w:rFonts w:ascii="Arial" w:cs="Arial" w:eastAsia="Arial" w:hAnsi="Arial"/>
          <w:sz w:val="22"/>
          <w:szCs w:val="22"/>
          <w:color w:val="auto"/>
        </w:rPr>
      </w:pPr>
    </w:p>
    <w:p>
      <w:pPr>
        <w:jc w:val="both"/>
        <w:ind w:firstLine="656"/>
        <w:spacing w:after="0" w:line="247" w:lineRule="auto"/>
        <w:tabs>
          <w:tab w:leader="none" w:pos="115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or any Subsidiary existing on the Effective Date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and any modifications, renewals and extensions thereof and any Lien granted as a replacement or substitute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the Borrower or any Subsidiary other than improvements thereon or proceeds thereof and (ii) such Lien shall secure only those obligations which it secures on the Effective Date and any refinancing, extension, renewal or replacement thereof that does not increase the outstanding principal amount thereof except by an amount equal to a reasonable premium or other reasonable amount paid, and fees and expenses reasonably incurred, in connection with such refinancing, extensions, renewals or replacements;</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197"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prior to the acquisition thereof by the Borrower or any Subsidiary or existing on any property or asset of any Person that becomes a Subsidiary after the Effective Date prior to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as the case may be, (ii) such Lien shall not apply to any other property or assets of the Borrower or any Subsidiary and (iii) such Lien shall secure only those obligations which it secures on the date of such acquisition or the date such Person becomes a Subsidiary, as the case may be, and any Permitted Refinancing thereof;</w:t>
      </w:r>
    </w:p>
    <w:p>
      <w:pPr>
        <w:spacing w:after="0" w:line="151" w:lineRule="exact"/>
        <w:rPr>
          <w:rFonts w:ascii="Arial" w:cs="Arial" w:eastAsia="Arial" w:hAnsi="Arial"/>
          <w:sz w:val="19"/>
          <w:szCs w:val="19"/>
          <w:color w:val="auto"/>
        </w:rPr>
      </w:pPr>
    </w:p>
    <w:p>
      <w:pPr>
        <w:ind w:left="1140" w:hanging="484"/>
        <w:spacing w:after="0"/>
        <w:tabs>
          <w:tab w:leader="none" w:pos="114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 w:lineRule="exact"/>
        <w:rPr>
          <w:rFonts w:ascii="Arial" w:cs="Arial" w:eastAsia="Arial" w:hAnsi="Arial"/>
          <w:sz w:val="19"/>
          <w:szCs w:val="19"/>
          <w:color w:val="auto"/>
        </w:rPr>
      </w:pPr>
    </w:p>
    <w:p>
      <w:pPr>
        <w:jc w:val="both"/>
        <w:ind w:firstLine="8"/>
        <w:spacing w:after="0" w:line="245" w:lineRule="auto"/>
        <w:tabs>
          <w:tab w:leader="none" w:pos="32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such security interests secure Indebtedness that is permitted by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(ii) such security interests and the Indebtedness secured thereby are initially incurred prior to or within 180 days after such acquisition or the completion of such construction or improvement and (iii) such security interests shall not apply to any other property or assets of the Borrower or any Subsidiary other than the property financed by such Indebtedness and any additions, accessions, parts, attachments or improvements thereon or proceeds and products hereof and customary security deposits and related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individual financings provided by one lender may be cross-collateralized to other financings provided by such lender;</w:t>
      </w:r>
    </w:p>
    <w:p>
      <w:pPr>
        <w:spacing w:after="0" w:line="155" w:lineRule="exact"/>
        <w:rPr>
          <w:rFonts w:ascii="Arial" w:cs="Arial" w:eastAsia="Arial" w:hAnsi="Arial"/>
          <w:sz w:val="19"/>
          <w:szCs w:val="19"/>
          <w:color w:val="auto"/>
        </w:rPr>
      </w:pPr>
    </w:p>
    <w:p>
      <w:pPr>
        <w:ind w:firstLine="656"/>
        <w:spacing w:after="0" w:line="232" w:lineRule="auto"/>
        <w:tabs>
          <w:tab w:leader="none" w:pos="1156" w:val="left"/>
        </w:tabs>
        <w:numPr>
          <w:ilvl w:val="1"/>
          <w:numId w:val="138"/>
        </w:numPr>
        <w:rPr>
          <w:rFonts w:ascii="Arial" w:cs="Arial" w:eastAsia="Arial" w:hAnsi="Arial"/>
          <w:sz w:val="22"/>
          <w:szCs w:val="22"/>
          <w:color w:val="auto"/>
        </w:rPr>
      </w:pPr>
      <w:r>
        <w:rPr>
          <w:rFonts w:ascii="Arial" w:cs="Arial" w:eastAsia="Arial" w:hAnsi="Arial"/>
          <w:sz w:val="22"/>
          <w:szCs w:val="22"/>
          <w:color w:val="auto"/>
        </w:rPr>
        <w:t>licenses, sublicenses, leases or subleases granted to others in the ordinary course of business not interfering in any material respect with the business of the Borrower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01" w:right="339" w:bottom="1440" w:gutter="0" w:footer="0" w:header="0"/>
        </w:sectPr>
      </w:pPr>
    </w:p>
    <w:bookmarkStart w:id="182" w:name="page183"/>
    <w:bookmarkEnd w:id="182"/>
    <w:p>
      <w:pPr>
        <w:ind w:firstLine="656"/>
        <w:spacing w:after="0" w:line="247" w:lineRule="auto"/>
        <w:tabs>
          <w:tab w:leader="none" w:pos="114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interest and title of a lessor under any lease or sublease entered into by the Borrower or any Subsidiary in the ordinary course of its business and other statutory and common law landlords’ Liens under leases;</w:t>
      </w:r>
    </w:p>
    <w:p>
      <w:pPr>
        <w:spacing w:after="0" w:line="150" w:lineRule="exact"/>
        <w:rPr>
          <w:rFonts w:ascii="Arial" w:cs="Arial" w:eastAsia="Arial" w:hAnsi="Arial"/>
          <w:sz w:val="21"/>
          <w:szCs w:val="21"/>
          <w:color w:val="auto"/>
        </w:rPr>
      </w:pPr>
    </w:p>
    <w:p>
      <w:pPr>
        <w:jc w:val="both"/>
        <w:ind w:firstLine="656"/>
        <w:spacing w:after="0" w:line="268" w:lineRule="auto"/>
        <w:tabs>
          <w:tab w:leader="none" w:pos="123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rights reserved or vested in any Person (including any Governmental Authority) by the terms of any lease, sublease, license, or sublicense held by the Parent or any of its Subsidiaries or by a statutory provision, to terminate any such lease, sublease, license, or sublicense, or to require annual or periodic payments as a condition to the continuance thereof;</w:t>
      </w:r>
    </w:p>
    <w:p>
      <w:pPr>
        <w:spacing w:after="0" w:line="132" w:lineRule="exact"/>
        <w:rPr>
          <w:rFonts w:ascii="Arial" w:cs="Arial" w:eastAsia="Arial" w:hAnsi="Arial"/>
          <w:sz w:val="19"/>
          <w:szCs w:val="19"/>
          <w:color w:val="auto"/>
        </w:rPr>
      </w:pPr>
    </w:p>
    <w:p>
      <w:pPr>
        <w:ind w:left="1120" w:hanging="464"/>
        <w:spacing w:after="0"/>
        <w:tabs>
          <w:tab w:leader="none" w:pos="11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interests of licensors and sublicensors under license and sublicense agreements;</w:t>
      </w:r>
    </w:p>
    <w:p>
      <w:pPr>
        <w:spacing w:after="0" w:line="179" w:lineRule="exact"/>
        <w:rPr>
          <w:rFonts w:ascii="Arial" w:cs="Arial" w:eastAsia="Arial" w:hAnsi="Arial"/>
          <w:sz w:val="22"/>
          <w:szCs w:val="22"/>
          <w:color w:val="auto"/>
        </w:rPr>
      </w:pPr>
    </w:p>
    <w:p>
      <w:pPr>
        <w:ind w:firstLine="656"/>
        <w:spacing w:after="0" w:line="247" w:lineRule="auto"/>
        <w:tabs>
          <w:tab w:leader="none" w:pos="111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150" w:lineRule="exact"/>
        <w:rPr>
          <w:rFonts w:ascii="Arial" w:cs="Arial" w:eastAsia="Arial" w:hAnsi="Arial"/>
          <w:sz w:val="21"/>
          <w:szCs w:val="21"/>
          <w:color w:val="auto"/>
        </w:rPr>
      </w:pPr>
    </w:p>
    <w:p>
      <w:pPr>
        <w:ind w:firstLine="656"/>
        <w:spacing w:after="0" w:line="232" w:lineRule="auto"/>
        <w:tabs>
          <w:tab w:leader="none" w:pos="1133"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securing Indebtedness to finance insurance premiums owing in the ordinary course of business to the extent such financing is not prohibited hereunder;</w:t>
      </w:r>
    </w:p>
    <w:p>
      <w:pPr>
        <w:spacing w:after="0" w:line="158" w:lineRule="exact"/>
        <w:rPr>
          <w:rFonts w:ascii="Arial" w:cs="Arial" w:eastAsia="Arial" w:hAnsi="Arial"/>
          <w:sz w:val="22"/>
          <w:szCs w:val="22"/>
          <w:color w:val="auto"/>
        </w:rPr>
      </w:pPr>
    </w:p>
    <w:p>
      <w:pPr>
        <w:ind w:left="1140" w:hanging="484"/>
        <w:spacing w:after="0"/>
        <w:tabs>
          <w:tab w:leader="none" w:pos="11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Liens on earnest money deposits of cash or cash equivalents made in connection with any acquisition not prohibited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61" w:lineRule="exact"/>
        <w:rPr>
          <w:rFonts w:ascii="Arial" w:cs="Arial" w:eastAsia="Arial" w:hAnsi="Arial"/>
          <w:sz w:val="19"/>
          <w:szCs w:val="19"/>
          <w:color w:val="auto"/>
        </w:rPr>
      </w:pPr>
    </w:p>
    <w:p>
      <w:pPr>
        <w:jc w:val="both"/>
        <w:ind w:firstLine="656"/>
        <w:spacing w:after="0" w:line="257" w:lineRule="auto"/>
        <w:tabs>
          <w:tab w:leader="none" w:pos="110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bankers’ Liens, rights of setoff and other similar Liens existing solely with respect to cash and Cash Equivalents on deposit in one or more accounts maintained by the Borrower or any Subsidiary, in each case granted in the ordinary course of business in favor of the banks, securities intermediaries or other depository institutions with which such accounts are maintained, securing amounts owing to such institutions with respect to cash management and operating account arrangements;</w:t>
      </w:r>
    </w:p>
    <w:p>
      <w:pPr>
        <w:spacing w:after="0" w:line="144" w:lineRule="exact"/>
        <w:rPr>
          <w:rFonts w:ascii="Arial" w:cs="Arial" w:eastAsia="Arial" w:hAnsi="Arial"/>
          <w:sz w:val="19"/>
          <w:szCs w:val="19"/>
          <w:color w:val="auto"/>
        </w:rPr>
      </w:pPr>
    </w:p>
    <w:p>
      <w:pPr>
        <w:ind w:firstLine="656"/>
        <w:spacing w:after="0" w:line="232" w:lineRule="auto"/>
        <w:tabs>
          <w:tab w:leader="none" w:pos="135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in the nature of the right of setoff in favor of counterparties to contractual agreements not otherwise prohibited hereunder with the Borrower or any of its Subsidiaries in the ordinary course of business;</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created pursuant to the Security Documents;</w:t>
      </w:r>
    </w:p>
    <w:p>
      <w:pPr>
        <w:spacing w:after="0" w:line="179" w:lineRule="exact"/>
        <w:rPr>
          <w:rFonts w:ascii="Arial" w:cs="Arial" w:eastAsia="Arial" w:hAnsi="Arial"/>
          <w:sz w:val="22"/>
          <w:szCs w:val="22"/>
          <w:color w:val="auto"/>
        </w:rPr>
      </w:pPr>
    </w:p>
    <w:p>
      <w:pPr>
        <w:jc w:val="both"/>
        <w:ind w:firstLine="656"/>
        <w:spacing w:after="0" w:line="214" w:lineRule="auto"/>
        <w:tabs>
          <w:tab w:leader="none" w:pos="121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other Liens securing obligations in an aggregate amount at any time outstanding not to exceed the greater of (i) $69,500,000 and (ii) 10% of the Total Assets at any time outstanding;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any such Liens on the Collateral shall be subordinated to the Liens of the Administrative Agent under the Security Documents pursuant to a customary intercreditor agreement that is reasonably acceptable to the Administrative Agent and (B) any such Liens on assets that are not Collateral shall secure obligations in an aggregate amount at any time not to exceed the greater of (x) $10,500,000 and (ii) 1.50% of the Total Assets at any time outstanding;</w:t>
      </w:r>
    </w:p>
    <w:p>
      <w:pPr>
        <w:spacing w:after="0" w:line="158" w:lineRule="exact"/>
        <w:rPr>
          <w:rFonts w:ascii="Arial" w:cs="Arial" w:eastAsia="Arial" w:hAnsi="Arial"/>
          <w:sz w:val="22"/>
          <w:szCs w:val="22"/>
          <w:color w:val="auto"/>
        </w:rPr>
      </w:pPr>
    </w:p>
    <w:p>
      <w:pPr>
        <w:ind w:firstLine="656"/>
        <w:spacing w:after="0" w:line="232" w:lineRule="auto"/>
        <w:tabs>
          <w:tab w:leader="none" w:pos="119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Liens on assets of Excluded Subsidiaries securing Indebtedness incurred by Excluded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security interests secure Indebtedness that is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656"/>
        <w:spacing w:after="0" w:line="232" w:lineRule="auto"/>
        <w:tabs>
          <w:tab w:leader="none" w:pos="114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customary encumbrance or restriction (including put and call arrangements) with respect to capital stock of any joint venture or similar customary arrangement pursuant to any joint venture or similar agreement;</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Liens on Equity Interests not required to be pledged pursuant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01" w:right="339" w:bottom="1440" w:gutter="0" w:footer="0" w:header="0"/>
        </w:sectPr>
      </w:pPr>
    </w:p>
    <w:bookmarkStart w:id="183" w:name="page184"/>
    <w:bookmarkEnd w:id="183"/>
    <w:p>
      <w:pPr>
        <w:jc w:val="both"/>
        <w:ind w:firstLine="656"/>
        <w:spacing w:after="0" w:line="229" w:lineRule="auto"/>
        <w:tabs>
          <w:tab w:leader="none" w:pos="1179" w:val="left"/>
        </w:tabs>
        <w:numPr>
          <w:ilvl w:val="0"/>
          <w:numId w:val="140"/>
        </w:numPr>
        <w:rPr>
          <w:rFonts w:ascii="Arial" w:cs="Arial" w:eastAsia="Arial" w:hAnsi="Arial"/>
          <w:sz w:val="21"/>
          <w:szCs w:val="21"/>
          <w:color w:val="auto"/>
        </w:rPr>
      </w:pPr>
      <w:r>
        <w:rPr>
          <w:rFonts w:ascii="Arial" w:cs="Arial" w:eastAsia="Arial" w:hAnsi="Arial"/>
          <w:sz w:val="21"/>
          <w:szCs w:val="21"/>
          <w:color w:val="auto"/>
        </w:rPr>
        <w:t>rights reserved to or vested in any Governmental Authority to control or regulate, or obligations or duties to any Governmental Authority with respect to (i) the use of any real property or vessel, or (ii) any right, power, franchise, grant, license, or permit, including present or future zoning laws, building codes and ordinances, zoning restrictions, or other laws and ordinances restricting the occupancy, use, or enjoyment of real property or vessel;</w:t>
      </w:r>
    </w:p>
    <w:p>
      <w:pPr>
        <w:spacing w:after="0" w:line="158" w:lineRule="exact"/>
        <w:rPr>
          <w:rFonts w:ascii="Arial" w:cs="Arial" w:eastAsia="Arial" w:hAnsi="Arial"/>
          <w:sz w:val="21"/>
          <w:szCs w:val="21"/>
          <w:color w:val="auto"/>
        </w:rPr>
      </w:pPr>
    </w:p>
    <w:p>
      <w:pPr>
        <w:jc w:val="both"/>
        <w:ind w:firstLine="656"/>
        <w:spacing w:after="0" w:line="218" w:lineRule="auto"/>
        <w:tabs>
          <w:tab w:leader="none" w:pos="110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Liens on assets of a Person existing at the time such Person is acquired or merged with or into or consolidated with the Borrower or any Subsidiary (and not created in connection with or in anticipation or contemplation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Liens do not extend to assets not subject to such Liens at the time of acquisition (other than improvements and attachments thereon, accessions thereto and proceeds thereof;</w:t>
      </w:r>
    </w:p>
    <w:p>
      <w:pPr>
        <w:spacing w:after="0" w:line="160" w:lineRule="exact"/>
        <w:rPr>
          <w:rFonts w:ascii="Arial" w:cs="Arial" w:eastAsia="Arial" w:hAnsi="Arial"/>
          <w:sz w:val="22"/>
          <w:szCs w:val="22"/>
          <w:color w:val="auto"/>
        </w:rPr>
      </w:pPr>
    </w:p>
    <w:p>
      <w:pPr>
        <w:ind w:left="1240" w:hanging="584"/>
        <w:spacing w:after="0"/>
        <w:tabs>
          <w:tab w:leader="none" w:pos="12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Liens ratably secured by the Collateral in favor of counterparties to Swap Agreements permitted under </w:t>
      </w:r>
      <w:r>
        <w:rPr>
          <w:rFonts w:ascii="Arial" w:cs="Arial" w:eastAsia="Arial" w:hAnsi="Arial"/>
          <w:sz w:val="19"/>
          <w:szCs w:val="19"/>
          <w:u w:val="single" w:color="auto"/>
          <w:color w:val="auto"/>
        </w:rPr>
        <w:t>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6.01(n)</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Liens securing Indebtedness incurred pursuant to </w:t>
      </w:r>
      <w:r>
        <w:rPr>
          <w:rFonts w:ascii="Arial" w:cs="Arial" w:eastAsia="Arial" w:hAnsi="Arial"/>
          <w:sz w:val="22"/>
          <w:szCs w:val="22"/>
          <w:u w:val="single" w:color="auto"/>
          <w:color w:val="auto"/>
        </w:rPr>
        <w:t>Section 6.01(c)</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656"/>
        <w:spacing w:after="0" w:line="223" w:lineRule="auto"/>
        <w:tabs>
          <w:tab w:leader="none" w:pos="119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Liens on cash and Cash Equivalents (and on the related escrow accounts or similar accounts, if any) required to be paid to the lessors (or lenders to such lessors) under leases or maintained in an escrow account or similar account pending application of such proceeds in accordance with the applicable lease;</w:t>
      </w:r>
    </w:p>
    <w:p>
      <w:pPr>
        <w:spacing w:after="0" w:line="158" w:lineRule="exact"/>
        <w:rPr>
          <w:rFonts w:ascii="Arial" w:cs="Arial" w:eastAsia="Arial" w:hAnsi="Arial"/>
          <w:sz w:val="22"/>
          <w:szCs w:val="22"/>
          <w:color w:val="auto"/>
        </w:rPr>
      </w:pPr>
    </w:p>
    <w:p>
      <w:pPr>
        <w:ind w:firstLine="656"/>
        <w:spacing w:after="0" w:line="232" w:lineRule="auto"/>
        <w:tabs>
          <w:tab w:leader="none" w:pos="121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Liens encumbering deposits made to secure obligations arising from statutory or regulatory requirements of that Person or its Subsidiaries;</w:t>
      </w:r>
    </w:p>
    <w:p>
      <w:pPr>
        <w:spacing w:after="0" w:line="158" w:lineRule="exact"/>
        <w:rPr>
          <w:rFonts w:ascii="Arial" w:cs="Arial" w:eastAsia="Arial" w:hAnsi="Arial"/>
          <w:sz w:val="22"/>
          <w:szCs w:val="22"/>
          <w:color w:val="auto"/>
        </w:rPr>
      </w:pPr>
    </w:p>
    <w:p>
      <w:pPr>
        <w:ind w:firstLine="656"/>
        <w:spacing w:after="0" w:line="232" w:lineRule="auto"/>
        <w:tabs>
          <w:tab w:leader="none" w:pos="112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encumbrance or restriction (including put and call arrangements) with respect to the Equity Interests of any joint venture or similar arrangement pursuant to any joint venture or similar agreement; and</w:t>
      </w:r>
    </w:p>
    <w:p>
      <w:pPr>
        <w:spacing w:after="0" w:line="158" w:lineRule="exact"/>
        <w:rPr>
          <w:rFonts w:ascii="Arial" w:cs="Arial" w:eastAsia="Arial" w:hAnsi="Arial"/>
          <w:sz w:val="22"/>
          <w:szCs w:val="22"/>
          <w:color w:val="auto"/>
        </w:rPr>
      </w:pPr>
    </w:p>
    <w:p>
      <w:pPr>
        <w:ind w:firstLine="656"/>
        <w:spacing w:after="0" w:line="232" w:lineRule="auto"/>
        <w:tabs>
          <w:tab w:leader="none" w:pos="119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under </w:t>
      </w:r>
      <w:r>
        <w:rPr>
          <w:rFonts w:ascii="Arial" w:cs="Arial" w:eastAsia="Arial" w:hAnsi="Arial"/>
          <w:sz w:val="22"/>
          <w:szCs w:val="22"/>
          <w:u w:val="single" w:color="auto"/>
          <w:color w:val="auto"/>
        </w:rPr>
        <w:t>Section 6.01(l)</w:t>
      </w:r>
      <w:r>
        <w:rPr>
          <w:rFonts w:ascii="Arial" w:cs="Arial" w:eastAsia="Arial" w:hAnsi="Arial"/>
          <w:sz w:val="22"/>
          <w:szCs w:val="22"/>
          <w:color w:val="auto"/>
        </w:rPr>
        <w:t xml:space="preserve"> (i) on cash collateral or (ii) arising from a backstop letter of credit arrangement.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u w:val="single" w:color="auto"/>
          <w:color w:val="auto"/>
        </w:rPr>
        <w:t>Fundamental Changes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6" w:lineRule="auto"/>
        <w:tabs>
          <w:tab w:leader="none" w:pos="110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Borrower will not, and will not permit any Subsidiary to, (x) merge into or consolidate with any other Person, or permit any other Person to merge into or consolidate with it, (y) otherwise Dispose of (in one transaction or in a series of transactions) all or substantially all of its assets, or all or substantially all of the stock of any of its Subsidiaries (in each case, whether now owned or hereafter acquired), or (z) liquidate or dissolve, except that, if at the time thereof and immediately after giving effect thereto no Default shall have occurred and be continuing:</w:t>
      </w:r>
    </w:p>
    <w:p>
      <w:pPr>
        <w:spacing w:after="0" w:line="157" w:lineRule="exact"/>
        <w:rPr>
          <w:rFonts w:ascii="Arial" w:cs="Arial" w:eastAsia="Arial" w:hAnsi="Arial"/>
          <w:sz w:val="22"/>
          <w:szCs w:val="22"/>
          <w:color w:val="auto"/>
        </w:rPr>
      </w:pPr>
    </w:p>
    <w:p>
      <w:pPr>
        <w:ind w:firstLine="1304"/>
        <w:spacing w:after="0" w:line="232" w:lineRule="auto"/>
        <w:tabs>
          <w:tab w:leader="none" w:pos="1737"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any Subsidiary or any other Person (except the Parent) may merge into or consolidate with the Borrower in a transaction in which the Borrower is the surviving corporation;</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821"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Person (other than the Borrower or the Parent) may merge into or consolidate with any Subsidiary in a transaction in which the surviving entity is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or consolidation involving a Guarantor must result in a Guarantor as the surviving entity or the surviving entity becoming a Guarantor as part of the transaction);</w:t>
      </w:r>
    </w:p>
    <w:p>
      <w:pPr>
        <w:spacing w:after="0" w:line="132" w:lineRule="exact"/>
        <w:rPr>
          <w:rFonts w:ascii="Arial" w:cs="Arial" w:eastAsia="Arial" w:hAnsi="Arial"/>
          <w:sz w:val="19"/>
          <w:szCs w:val="19"/>
          <w:color w:val="auto"/>
        </w:rPr>
      </w:pPr>
    </w:p>
    <w:p>
      <w:pPr>
        <w:ind w:left="1860" w:hanging="556"/>
        <w:spacing w:after="0"/>
        <w:tabs>
          <w:tab w:leader="none" w:pos="18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Excluded Subsidiary may Dispose of its assets to any Loan Party (other than the Parent) or to any other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01" w:right="339" w:bottom="1440" w:gutter="0" w:footer="0" w:header="0"/>
        </w:sectPr>
      </w:pPr>
    </w:p>
    <w:bookmarkStart w:id="184" w:name="page185"/>
    <w:bookmarkEnd w:id="184"/>
    <w:p>
      <w:pPr>
        <w:ind w:left="1840" w:hanging="536"/>
        <w:spacing w:after="0"/>
        <w:tabs>
          <w:tab w:leader="none" w:pos="18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Loan Party may Dispose of its assets to any other Loan Party (other than the Parent);</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94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in connection with any Investment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 any Loan Party may merge into or consolidate with any other Person (other than the Parent), so long as the Person surviving such merger or consolidation shall be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(x) any such merger or consolidation involving a Guarantor must result in a Guarantor as the surviving entity or the surviving entity becoming a Guarantor as part of the transaction and (y) any such merger or consolidation involving the Borrower must result in the Borrower as the surviving entity);</w:t>
      </w:r>
    </w:p>
    <w:p>
      <w:pPr>
        <w:spacing w:after="0" w:line="157" w:lineRule="exact"/>
        <w:rPr>
          <w:rFonts w:ascii="Arial" w:cs="Arial" w:eastAsia="Arial" w:hAnsi="Arial"/>
          <w:sz w:val="22"/>
          <w:szCs w:val="22"/>
          <w:color w:val="auto"/>
        </w:rPr>
      </w:pPr>
    </w:p>
    <w:p>
      <w:pPr>
        <w:ind w:firstLine="1304"/>
        <w:spacing w:after="0" w:line="232" w:lineRule="auto"/>
        <w:tabs>
          <w:tab w:leader="none" w:pos="185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subject to compliance with </w:t>
      </w:r>
      <w:r>
        <w:rPr>
          <w:rFonts w:ascii="Arial" w:cs="Arial" w:eastAsia="Arial" w:hAnsi="Arial"/>
          <w:sz w:val="22"/>
          <w:szCs w:val="22"/>
          <w:u w:val="single" w:color="auto"/>
          <w:color w:val="auto"/>
        </w:rPr>
        <w:t>Section 6.04(d)</w:t>
      </w:r>
      <w:r>
        <w:rPr>
          <w:rFonts w:ascii="Arial" w:cs="Arial" w:eastAsia="Arial" w:hAnsi="Arial"/>
          <w:sz w:val="22"/>
          <w:szCs w:val="22"/>
          <w:color w:val="auto"/>
        </w:rPr>
        <w:t xml:space="preserve">, any Loan Party may Dispose of its assets in order to effect any Investment permitted under </w:t>
      </w:r>
      <w:r>
        <w:rPr>
          <w:rFonts w:ascii="Arial" w:cs="Arial" w:eastAsia="Arial" w:hAnsi="Arial"/>
          <w:sz w:val="22"/>
          <w:szCs w:val="22"/>
          <w:u w:val="single" w:color="auto"/>
          <w:color w:val="auto"/>
        </w:rPr>
        <w:t>Section 6.04(d)</w:t>
      </w:r>
      <w:r>
        <w:rPr>
          <w:rFonts w:ascii="Arial" w:cs="Arial" w:eastAsia="Arial" w:hAnsi="Arial"/>
          <w:sz w:val="22"/>
          <w:szCs w:val="22"/>
          <w:color w:val="auto"/>
        </w:rPr>
        <w:t>; and</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193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any Subsidiary may liquidate or dissolve if the Borrower determines in good faith that such liquidation or dissolution is in the best interests of the Borrower and is not materially disadvantageous to the Lenders; and any Subsidiary may consummate a Division as the Dividing Person if, immediately upon the consummation of the Division, all the assets of the applicable Dividing Person are held by one or more Subsidiaries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applicable Dividing Person is a Loan Party, all of the assets of such Dividing Person shall be held by one or more Loan Parties at such time;</w:t>
      </w:r>
    </w:p>
    <w:p>
      <w:pPr>
        <w:spacing w:after="0" w:line="149" w:lineRule="exact"/>
        <w:rPr>
          <w:sz w:val="20"/>
          <w:szCs w:val="20"/>
          <w:color w:val="auto"/>
        </w:rPr>
      </w:pPr>
    </w:p>
    <w:p>
      <w:pPr>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any such merger involving a Person that is not a wholly owned Subsidiary immediately prior to such merger shall not be permitted unless also permitted by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59" w:lineRule="exact"/>
        <w:rPr>
          <w:sz w:val="20"/>
          <w:szCs w:val="20"/>
          <w:color w:val="auto"/>
        </w:rPr>
      </w:pPr>
    </w:p>
    <w:p>
      <w:pPr>
        <w:jc w:val="both"/>
        <w:ind w:firstLine="656"/>
        <w:spacing w:after="0" w:line="234" w:lineRule="auto"/>
        <w:tabs>
          <w:tab w:leader="none" w:pos="115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Borrower will not, and will not permit any of its Subsidiaries to, engage to any material extent in any material line of business substantially different from those lines of businesses conducted or proposed to be conducted by the Borrower and its Subsidiaries on the Effective Date and businesses substantially related or incidental thereto.</w:t>
      </w:r>
    </w:p>
    <w:p>
      <w:pPr>
        <w:spacing w:after="0" w:line="15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Investments, Loans, Advances, Guarantees and Acquisitions</w:t>
      </w:r>
      <w:r>
        <w:rPr>
          <w:rFonts w:ascii="Arial" w:cs="Arial" w:eastAsia="Arial" w:hAnsi="Arial"/>
          <w:sz w:val="19"/>
          <w:szCs w:val="19"/>
          <w:color w:val="auto"/>
        </w:rPr>
        <w:t>. The Borrower will not, and will not permit any of its Subsidiaries to, purchase, hold or acquire (including pursuant to any merger with any Person that was not a wholly owned Subsidiary prior to such merger) any capital stock, evidences of indebtedness or other securities (including any option, warrant or other right to acquire any of the foregoing) of, make or permit to exist any loans or advances to, Guarantee any obligations of, any other Person, or purchase or otherwise acquire (in one transaction or a series of transactions) any assets of any other Person constituting a business unit (the foregoing activities are collectively referred to herein as “</w:t>
      </w:r>
      <w:r>
        <w:rPr>
          <w:rFonts w:ascii="Arial" w:cs="Arial" w:eastAsia="Arial" w:hAnsi="Arial"/>
          <w:sz w:val="19"/>
          <w:szCs w:val="19"/>
          <w:u w:val="single" w:color="auto"/>
          <w:color w:val="auto"/>
        </w:rPr>
        <w:t>Investments</w:t>
      </w:r>
      <w:r>
        <w:rPr>
          <w:rFonts w:ascii="Arial" w:cs="Arial" w:eastAsia="Arial" w:hAnsi="Arial"/>
          <w:sz w:val="19"/>
          <w:szCs w:val="19"/>
          <w:color w:val="auto"/>
        </w:rPr>
        <w:t>”), except:</w:t>
      </w:r>
    </w:p>
    <w:p>
      <w:pPr>
        <w:spacing w:after="0" w:line="152" w:lineRule="exact"/>
        <w:rPr>
          <w:sz w:val="20"/>
          <w:szCs w:val="20"/>
          <w:color w:val="auto"/>
        </w:rPr>
      </w:pPr>
    </w:p>
    <w:p>
      <w:pPr>
        <w:ind w:left="1120" w:hanging="464"/>
        <w:spacing w:after="0"/>
        <w:tabs>
          <w:tab w:leader="none" w:pos="112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179" w:lineRule="exact"/>
        <w:rPr>
          <w:rFonts w:ascii="Arial" w:cs="Arial" w:eastAsia="Arial" w:hAnsi="Arial"/>
          <w:sz w:val="22"/>
          <w:szCs w:val="22"/>
          <w:color w:val="auto"/>
        </w:rPr>
      </w:pPr>
    </w:p>
    <w:p>
      <w:pPr>
        <w:jc w:val="both"/>
        <w:ind w:firstLine="656"/>
        <w:spacing w:after="0" w:line="223" w:lineRule="auto"/>
        <w:tabs>
          <w:tab w:leader="none" w:pos="1293" w:val="left"/>
        </w:tabs>
        <w:numPr>
          <w:ilvl w:val="1"/>
          <w:numId w:val="144"/>
        </w:numPr>
        <w:rPr>
          <w:rFonts w:ascii="Arial" w:cs="Arial" w:eastAsia="Arial" w:hAnsi="Arial"/>
          <w:sz w:val="22"/>
          <w:szCs w:val="22"/>
          <w:color w:val="auto"/>
        </w:rPr>
      </w:pPr>
      <w:r>
        <w:rPr>
          <w:rFonts w:ascii="Arial" w:cs="Arial" w:eastAsia="Arial" w:hAnsi="Arial"/>
          <w:sz w:val="22"/>
          <w:szCs w:val="22"/>
          <w:color w:val="auto"/>
        </w:rPr>
        <w:t xml:space="preserve">(i) Investments by the Borrower existing on the date hereof in the capital stock of its Subsidiaries; and (ii) Investments in existence, contemplated or made pursuant to binding commitments in effect on the Effective Date and identified on </w:t>
      </w:r>
      <w:r>
        <w:rPr>
          <w:rFonts w:ascii="Arial" w:cs="Arial" w:eastAsia="Arial" w:hAnsi="Arial"/>
          <w:sz w:val="22"/>
          <w:szCs w:val="22"/>
          <w:u w:val="single" w:color="auto"/>
          <w:color w:val="auto"/>
        </w:rPr>
        <w:t>Schedule 6.04(b)(ii)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656"/>
        <w:spacing w:after="0" w:line="232" w:lineRule="auto"/>
        <w:tabs>
          <w:tab w:leader="none" w:pos="119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 Investments made by the Borrower or any Subsidiary, in the Borrower or any other Subsidiary that is a Loan Party; and (ii) Investments by Excluded Subsidiaries in other Excluded Subsidiaries;</w:t>
      </w:r>
    </w:p>
    <w:p>
      <w:pPr>
        <w:spacing w:after="0" w:line="158" w:lineRule="exact"/>
        <w:rPr>
          <w:rFonts w:ascii="Arial" w:cs="Arial" w:eastAsia="Arial" w:hAnsi="Arial"/>
          <w:sz w:val="22"/>
          <w:szCs w:val="22"/>
          <w:color w:val="auto"/>
        </w:rPr>
      </w:pPr>
    </w:p>
    <w:p>
      <w:pPr>
        <w:jc w:val="both"/>
        <w:ind w:firstLine="656"/>
        <w:spacing w:after="0" w:line="247" w:lineRule="auto"/>
        <w:tabs>
          <w:tab w:leader="none" w:pos="119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Investments made by the Borrower in any Excluded Subsidiary, or by any Subsidiary that is a Loan Party in any Excluded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such Investments shall not exceed the greater of (i) $24,500,000 and</w:t>
      </w:r>
    </w:p>
    <w:p>
      <w:pPr>
        <w:ind w:left="320" w:hanging="312"/>
        <w:spacing w:after="0"/>
        <w:tabs>
          <w:tab w:leader="none" w:pos="3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3.5% of the Total Assets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01" w:right="339" w:bottom="1440" w:gutter="0" w:footer="0" w:header="0"/>
        </w:sectPr>
      </w:pPr>
    </w:p>
    <w:bookmarkStart w:id="185" w:name="page186"/>
    <w:bookmarkEnd w:id="185"/>
    <w:p>
      <w:pPr>
        <w:ind w:firstLine="656"/>
        <w:spacing w:after="0" w:line="232" w:lineRule="auto"/>
        <w:tabs>
          <w:tab w:leader="none" w:pos="118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in an aggregate amount at any time outstanding not to exceed the greater of (i) $10,500,000 and (ii) 1.5% of the Total Assets at any time outstanding;</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firstLine="656"/>
        <w:spacing w:after="0" w:line="232" w:lineRule="auto"/>
        <w:tabs>
          <w:tab w:leader="none" w:pos="117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received in settlement of debts, claims or disputes owed to the Borrower or any Subsidiary that arose out of transactions in the ordinary course of business;</w:t>
      </w:r>
    </w:p>
    <w:p>
      <w:pPr>
        <w:spacing w:after="0" w:line="158" w:lineRule="exact"/>
        <w:rPr>
          <w:rFonts w:ascii="Arial" w:cs="Arial" w:eastAsia="Arial" w:hAnsi="Arial"/>
          <w:sz w:val="22"/>
          <w:szCs w:val="22"/>
          <w:color w:val="auto"/>
        </w:rPr>
      </w:pPr>
    </w:p>
    <w:p>
      <w:pPr>
        <w:ind w:firstLine="656"/>
        <w:spacing w:after="0" w:line="232" w:lineRule="auto"/>
        <w:tabs>
          <w:tab w:leader="none" w:pos="120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advances and extensions of credit in the nature of accounts receivable arising from the sale or lease of goods or services or the licensing of property in the ordinary course of business;</w:t>
      </w:r>
    </w:p>
    <w:p>
      <w:pPr>
        <w:spacing w:after="0" w:line="158" w:lineRule="exact"/>
        <w:rPr>
          <w:rFonts w:ascii="Arial" w:cs="Arial" w:eastAsia="Arial" w:hAnsi="Arial"/>
          <w:sz w:val="22"/>
          <w:szCs w:val="22"/>
          <w:color w:val="auto"/>
        </w:rPr>
      </w:pPr>
    </w:p>
    <w:p>
      <w:pPr>
        <w:ind w:firstLine="656"/>
        <w:spacing w:after="0" w:line="232" w:lineRule="auto"/>
        <w:tabs>
          <w:tab w:leader="none" w:pos="108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Investments made by the Borrower or any Subsidiary in the Parent to the extent permitted to be made as a Restricted Payment by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1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in joint ventures to the extent required by, or made pursuant to customary buy/sell arrangements, drag-along rights, put rights, call rights or similar arrangements between, the joint venture parties set forth in joint venture arrangements and similar binding arrangements;</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7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among Loan Parties and their Subsidiaries pursuant to any agreement or arrangement to provide ordinary course facilities or services related to cash management, including treasury, depository, overdraft, credit or debit card, purchase card, electronic funds transfer and other cash management arrangements;</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Guarantees constituting Indebtedness permitted by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656"/>
        <w:spacing w:after="0" w:line="223" w:lineRule="auto"/>
        <w:tabs>
          <w:tab w:leader="none" w:pos="136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so long as no Default or Event of Default then exists or would result therefrom, the Borrower may make Investments (except in the Parent) and other acquisitions if the Borrower is in compliance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on a Pro Forma Basis after giving effect to such Investment or acquisition;</w:t>
      </w:r>
    </w:p>
    <w:p>
      <w:pPr>
        <w:spacing w:after="0" w:line="158" w:lineRule="exact"/>
        <w:rPr>
          <w:rFonts w:ascii="Arial" w:cs="Arial" w:eastAsia="Arial" w:hAnsi="Arial"/>
          <w:sz w:val="22"/>
          <w:szCs w:val="22"/>
          <w:color w:val="auto"/>
        </w:rPr>
      </w:pPr>
    </w:p>
    <w:p>
      <w:pPr>
        <w:jc w:val="both"/>
        <w:ind w:firstLine="656"/>
        <w:spacing w:after="0" w:line="234" w:lineRule="auto"/>
        <w:tabs>
          <w:tab w:leader="none" w:pos="1173"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Investments funded with (i) Equity Interests of the Parent (or any parent company thereof) or the Borrower or (ii) net cash proceeds from (x) the issuance of the Equity Interests of the Parent (or any parent company thereof) and contributed as common equity to the Borrower or (y) the issuance of the Equity Interests of the Borrower;</w:t>
      </w:r>
    </w:p>
    <w:p>
      <w:pPr>
        <w:spacing w:after="0" w:line="157" w:lineRule="exact"/>
        <w:rPr>
          <w:rFonts w:ascii="Arial" w:cs="Arial" w:eastAsia="Arial" w:hAnsi="Arial"/>
          <w:sz w:val="21"/>
          <w:szCs w:val="21"/>
          <w:color w:val="auto"/>
        </w:rPr>
      </w:pPr>
    </w:p>
    <w:p>
      <w:pPr>
        <w:ind w:firstLine="656"/>
        <w:spacing w:after="0" w:line="232" w:lineRule="auto"/>
        <w:tabs>
          <w:tab w:leader="none" w:pos="119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consisting of the licensing, sublicensing or contribution of any Intellectual Property pursuant to joint marketing, collaboration or other similar arrangements with other Persons;</w:t>
      </w:r>
    </w:p>
    <w:p>
      <w:pPr>
        <w:spacing w:after="0" w:line="158" w:lineRule="exact"/>
        <w:rPr>
          <w:rFonts w:ascii="Arial" w:cs="Arial" w:eastAsia="Arial" w:hAnsi="Arial"/>
          <w:sz w:val="22"/>
          <w:szCs w:val="22"/>
          <w:color w:val="auto"/>
        </w:rPr>
      </w:pPr>
    </w:p>
    <w:p>
      <w:pPr>
        <w:ind w:firstLine="656"/>
        <w:spacing w:after="0" w:line="247" w:lineRule="auto"/>
        <w:tabs>
          <w:tab w:leader="none" w:pos="1233"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advances up to an aggregate principal amount of $500,000 per year to officers, directors and employees of the Borrower and its Subsidiaries for travel, entertainment, relocation and analogous ordinary business purposes;</w:t>
      </w:r>
    </w:p>
    <w:p>
      <w:pPr>
        <w:spacing w:after="0" w:line="150" w:lineRule="exact"/>
        <w:rPr>
          <w:rFonts w:ascii="Arial" w:cs="Arial" w:eastAsia="Arial" w:hAnsi="Arial"/>
          <w:sz w:val="21"/>
          <w:szCs w:val="21"/>
          <w:color w:val="auto"/>
        </w:rPr>
      </w:pPr>
    </w:p>
    <w:p>
      <w:pPr>
        <w:ind w:left="1120" w:hanging="464"/>
        <w:spacing w:after="0"/>
        <w:tabs>
          <w:tab w:leader="none" w:pos="11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purchases or redemption of the Parent’s or the Borrower’s Equity Interests to the extent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firstLine="656"/>
        <w:spacing w:after="0" w:line="218" w:lineRule="auto"/>
        <w:tabs>
          <w:tab w:leader="none" w:pos="113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(including in connection with the bankruptcy or reorganization of such account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01" w:right="339" w:bottom="1440" w:gutter="0" w:footer="0" w:header="0"/>
        </w:sectPr>
      </w:pPr>
    </w:p>
    <w:bookmarkStart w:id="186" w:name="page187"/>
    <w:bookmarkEnd w:id="186"/>
    <w:p>
      <w:pPr>
        <w:jc w:val="both"/>
        <w:ind w:firstLine="656"/>
        <w:spacing w:after="0" w:line="223" w:lineRule="auto"/>
        <w:tabs>
          <w:tab w:leader="none" w:pos="11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capital expenditures and Investments consisting of or to finance purchases and acquisitions of inventory, supplies, materials, services or equipment or purchases of contract rights or licenses or leases of intellectual property in the ordinary course of business;</w:t>
      </w:r>
    </w:p>
    <w:p>
      <w:pPr>
        <w:spacing w:after="0" w:line="158" w:lineRule="exact"/>
        <w:rPr>
          <w:rFonts w:ascii="Arial" w:cs="Arial" w:eastAsia="Arial" w:hAnsi="Arial"/>
          <w:sz w:val="22"/>
          <w:szCs w:val="22"/>
          <w:color w:val="auto"/>
        </w:rPr>
      </w:pPr>
    </w:p>
    <w:p>
      <w:pPr>
        <w:ind w:left="1080" w:hanging="424"/>
        <w:spacing w:after="0"/>
        <w:tabs>
          <w:tab w:leader="none" w:pos="10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Investments representing all or a portion of the sales price for property sold to another Person;</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any Investment made in lieu of payment of a Tax or in consideration of a reduction in Tax;</w:t>
      </w:r>
    </w:p>
    <w:p>
      <w:pPr>
        <w:spacing w:after="0" w:line="179" w:lineRule="exact"/>
        <w:rPr>
          <w:rFonts w:ascii="Arial" w:cs="Arial" w:eastAsia="Arial" w:hAnsi="Arial"/>
          <w:sz w:val="22"/>
          <w:szCs w:val="22"/>
          <w:color w:val="auto"/>
        </w:rPr>
      </w:pPr>
    </w:p>
    <w:p>
      <w:pPr>
        <w:jc w:val="both"/>
        <w:ind w:firstLine="656"/>
        <w:spacing w:after="0" w:line="257" w:lineRule="auto"/>
        <w:tabs>
          <w:tab w:leader="none" w:pos="122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Investments of a Person existing at the time such Person is acquired, becomes a Subsidiary or is amalgamated, merged or consolidated with or into the Borrower or any Subsidiary after the Effective Date to the extent that such Investments were not made in contemplation of or in connection with such acquisition, designation, redesignation, amalgamation, merger or consolidation and were in existence on the date of such acquisition, merger or consolidation;</w:t>
      </w:r>
    </w:p>
    <w:p>
      <w:pPr>
        <w:spacing w:after="0" w:line="144" w:lineRule="exact"/>
        <w:rPr>
          <w:rFonts w:ascii="Arial" w:cs="Arial" w:eastAsia="Arial" w:hAnsi="Arial"/>
          <w:sz w:val="19"/>
          <w:szCs w:val="19"/>
          <w:color w:val="auto"/>
        </w:rPr>
      </w:pPr>
    </w:p>
    <w:p>
      <w:pPr>
        <w:ind w:firstLine="656"/>
        <w:spacing w:after="0" w:line="232" w:lineRule="auto"/>
        <w:tabs>
          <w:tab w:leader="none" w:pos="121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Investments resulting from pledges and deposits under </w:t>
      </w:r>
      <w:r>
        <w:rPr>
          <w:rFonts w:ascii="Arial" w:cs="Arial" w:eastAsia="Arial" w:hAnsi="Arial"/>
          <w:sz w:val="22"/>
          <w:szCs w:val="22"/>
          <w:u w:val="single" w:color="auto"/>
          <w:color w:val="auto"/>
        </w:rPr>
        <w:t>clauses (c)</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(l)</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(n)</w:t>
      </w:r>
      <w:r>
        <w:rPr>
          <w:rFonts w:ascii="Arial" w:cs="Arial" w:eastAsia="Arial" w:hAnsi="Arial"/>
          <w:sz w:val="22"/>
          <w:szCs w:val="22"/>
          <w:color w:val="auto"/>
        </w:rPr>
        <w:t xml:space="preserve"> of Permitted Encumbrances and </w:t>
      </w:r>
      <w:r>
        <w:rPr>
          <w:rFonts w:ascii="Arial" w:cs="Arial" w:eastAsia="Arial" w:hAnsi="Arial"/>
          <w:sz w:val="22"/>
          <w:szCs w:val="22"/>
          <w:u w:val="single" w:color="auto"/>
          <w:color w:val="auto"/>
        </w:rPr>
        <w:t>Sections 6.02(u)</w:t>
      </w:r>
      <w:r>
        <w:rPr>
          <w:rFonts w:ascii="Arial" w:cs="Arial" w:eastAsia="Arial" w:hAnsi="Arial"/>
          <w:sz w:val="22"/>
          <w:szCs w:val="22"/>
          <w:color w:val="auto"/>
        </w:rPr>
        <w:t xml:space="preserve">, </w:t>
      </w:r>
      <w:r>
        <w:rPr>
          <w:rFonts w:ascii="Arial" w:cs="Arial" w:eastAsia="Arial" w:hAnsi="Arial"/>
          <w:sz w:val="22"/>
          <w:szCs w:val="22"/>
          <w:u w:val="single" w:color="auto"/>
          <w:color w:val="auto"/>
        </w:rPr>
        <w:t>(w)</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Investments constituting non-cash consideration for Dispositions permitted under </w:t>
      </w:r>
      <w:r>
        <w:rPr>
          <w:rFonts w:ascii="Arial" w:cs="Arial" w:eastAsia="Arial" w:hAnsi="Arial"/>
          <w:sz w:val="22"/>
          <w:szCs w:val="22"/>
          <w:u w:val="single" w:color="auto"/>
          <w:color w:val="auto"/>
        </w:rPr>
        <w:t>Section 6.09</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Investments in connection with Swap Agreements permitted under </w:t>
      </w:r>
      <w:r>
        <w:rPr>
          <w:rFonts w:ascii="Arial" w:cs="Arial" w:eastAsia="Arial" w:hAnsi="Arial"/>
          <w:sz w:val="22"/>
          <w:szCs w:val="22"/>
          <w:u w:val="single" w:color="auto"/>
          <w:color w:val="auto"/>
        </w:rPr>
        <w:t>Section 6.01</w:t>
      </w: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to the extent constituting Investments, transactions permitted under </w:t>
      </w:r>
      <w:r>
        <w:rPr>
          <w:rFonts w:ascii="Arial" w:cs="Arial" w:eastAsia="Arial" w:hAnsi="Arial"/>
          <w:sz w:val="22"/>
          <w:szCs w:val="22"/>
          <w:u w:val="single" w:color="auto"/>
          <w:color w:val="auto"/>
        </w:rPr>
        <w:t>Section 6.03</w:t>
      </w:r>
      <w:r>
        <w:rPr>
          <w:rFonts w:ascii="Arial" w:cs="Arial" w:eastAsia="Arial" w:hAnsi="Arial"/>
          <w:sz w:val="22"/>
          <w:szCs w:val="22"/>
          <w:color w:val="auto"/>
        </w:rPr>
        <w:t>.</w:t>
      </w:r>
    </w:p>
    <w:p>
      <w:pPr>
        <w:spacing w:after="0" w:line="179" w:lineRule="exact"/>
        <w:rPr>
          <w:sz w:val="20"/>
          <w:szCs w:val="20"/>
          <w:color w:val="auto"/>
        </w:rPr>
      </w:pPr>
    </w:p>
    <w:p>
      <w:pPr>
        <w:ind w:right="140" w:firstLine="216"/>
        <w:spacing w:after="0" w:line="257"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6.04</w:t>
      </w:r>
      <w:r>
        <w:rPr>
          <w:rFonts w:ascii="Arial" w:cs="Arial" w:eastAsia="Arial" w:hAnsi="Arial"/>
          <w:sz w:val="19"/>
          <w:szCs w:val="19"/>
          <w:color w:val="auto"/>
        </w:rPr>
        <w:t>, the amount of any Investment shall be the amount actually invested, without adjustment for subsequent increases or decreases in the value of such Investment, but, except to the extent the Borrower shall otherwise elect, deducted by the amount of any repayment, interest, return, profit, distribution, income or similar amount in respect of such Investment which has actually been received in cash or Cash Equivalents or has been converted into cash or Cash Equivalents.</w:t>
      </w:r>
    </w:p>
    <w:p>
      <w:pPr>
        <w:spacing w:after="0" w:line="14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will not, and will not permit any of its Subsidiaries to, declare or make any Restricted Payments with respect to the Borrower or any of its Subsidiaries, except:</w:t>
      </w:r>
    </w:p>
    <w:p>
      <w:pPr>
        <w:spacing w:after="0" w:line="159" w:lineRule="exact"/>
        <w:rPr>
          <w:sz w:val="20"/>
          <w:szCs w:val="20"/>
          <w:color w:val="auto"/>
        </w:rPr>
      </w:pPr>
    </w:p>
    <w:p>
      <w:pPr>
        <w:jc w:val="both"/>
        <w:ind w:firstLine="1304"/>
        <w:spacing w:after="0" w:line="257" w:lineRule="auto"/>
        <w:tabs>
          <w:tab w:leader="none" w:pos="183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 any Subsidiary of the Borrower may make Restricted Payments to the Borrower or to any direct or indirect wholly-owned Subsidiary of the Borrower that is a Loan Party, and (B) any non-wholly-owned Subsidiary may make Restricted Payments to the Borrower or any of its other Subsidiaries that are Loan Parties and to each other owner of Equity Interests of such Subsidiary ratably based on their relative ownership interests of the relevant class of Equity Interests;</w:t>
      </w:r>
    </w:p>
    <w:p>
      <w:pPr>
        <w:spacing w:after="0" w:line="144" w:lineRule="exact"/>
        <w:rPr>
          <w:rFonts w:ascii="Arial" w:cs="Arial" w:eastAsia="Arial" w:hAnsi="Arial"/>
          <w:sz w:val="19"/>
          <w:szCs w:val="19"/>
          <w:color w:val="auto"/>
        </w:rPr>
      </w:pPr>
    </w:p>
    <w:p>
      <w:pPr>
        <w:ind w:firstLine="1304"/>
        <w:spacing w:after="0" w:line="232" w:lineRule="auto"/>
        <w:tabs>
          <w:tab w:leader="none" w:pos="19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Borrower may declare and make dividends payable solely in the form of additional shares of the Borrower’s or the Parent’s Equity Interests;</w:t>
      </w:r>
    </w:p>
    <w:p>
      <w:pPr>
        <w:spacing w:after="0" w:line="158" w:lineRule="exact"/>
        <w:rPr>
          <w:rFonts w:ascii="Arial" w:cs="Arial" w:eastAsia="Arial" w:hAnsi="Arial"/>
          <w:sz w:val="22"/>
          <w:szCs w:val="22"/>
          <w:color w:val="auto"/>
        </w:rPr>
      </w:pPr>
    </w:p>
    <w:p>
      <w:pPr>
        <w:jc w:val="both"/>
        <w:ind w:firstLine="1304"/>
        <w:spacing w:after="0" w:line="268" w:lineRule="auto"/>
        <w:tabs>
          <w:tab w:leader="none" w:pos="194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Borrower may repurchase fractional shares of its Equity Interests (or Equity Interests of the Parent) arising out of stock dividends, splits or combinations, business combinations or conversions of convertible securities or, so long as no Default or Event of Default then exists or would result therefrom, make cash settlement payments upon the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01" w:right="339" w:bottom="1440" w:gutter="0" w:footer="0" w:header="0"/>
        </w:sectPr>
      </w:pPr>
    </w:p>
    <w:bookmarkStart w:id="187" w:name="page188"/>
    <w:bookmarkEnd w:id="187"/>
    <w:p>
      <w:pPr>
        <w:spacing w:after="0"/>
        <w:rPr>
          <w:sz w:val="20"/>
          <w:szCs w:val="20"/>
          <w:color w:val="auto"/>
        </w:rPr>
      </w:pPr>
      <w:r>
        <w:rPr>
          <w:rFonts w:ascii="Arial" w:cs="Arial" w:eastAsia="Arial" w:hAnsi="Arial"/>
          <w:sz w:val="19"/>
          <w:szCs w:val="19"/>
          <w:color w:val="auto"/>
        </w:rPr>
        <w:t>of warrants to purchase its Equity Interests (or Equity Interests of the Parent), or “net exercise” or “net share settle” warrants;</w:t>
      </w:r>
    </w:p>
    <w:p>
      <w:pPr>
        <w:spacing w:after="0" w:line="214" w:lineRule="exact"/>
        <w:rPr>
          <w:sz w:val="20"/>
          <w:szCs w:val="20"/>
          <w:color w:val="auto"/>
        </w:rPr>
      </w:pPr>
    </w:p>
    <w:p>
      <w:pPr>
        <w:jc w:val="both"/>
        <w:ind w:firstLine="1304"/>
        <w:spacing w:after="0" w:line="218" w:lineRule="auto"/>
        <w:tabs>
          <w:tab w:leader="none" w:pos="191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Borrower may redeem or otherwise cancel Equity Interests or rights in respect thereof granted to (or make payments on behalf of) directors, officers, employees or other providers of services to the Parent, the Borrower and the Subsidiaries in an amount required to satisfy tax withholding obligations relating to the vesting, settlement or exercise of such Equity Interests or rights;</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83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the Borrower may make any Restricted Payment that has been declared by the Parent or the Borrower, so long as (A) such Restricted Payment would be otherwise permitted under clause (ix) of this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at the time so declared (and shall be deemed to be a utilization of such capacity from and after such time) and (B) such Restricted Payment is made within 60 days of such declaration;</w:t>
      </w:r>
    </w:p>
    <w:p>
      <w:pPr>
        <w:spacing w:after="0" w:line="160" w:lineRule="exact"/>
        <w:rPr>
          <w:rFonts w:ascii="Arial" w:cs="Arial" w:eastAsia="Arial" w:hAnsi="Arial"/>
          <w:sz w:val="22"/>
          <w:szCs w:val="22"/>
          <w:color w:val="auto"/>
        </w:rPr>
      </w:pPr>
    </w:p>
    <w:p>
      <w:pPr>
        <w:jc w:val="both"/>
        <w:ind w:firstLine="1304"/>
        <w:spacing w:after="0" w:line="252" w:lineRule="auto"/>
        <w:tabs>
          <w:tab w:leader="none" w:pos="200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Borrower may make any repurchase (or deemed repurchase) of Equity Interests pursuant to any accelerated stock repurchase or similar agreement (each, an “</w:t>
      </w:r>
      <w:r>
        <w:rPr>
          <w:rFonts w:ascii="Arial" w:cs="Arial" w:eastAsia="Arial" w:hAnsi="Arial"/>
          <w:sz w:val="19"/>
          <w:szCs w:val="19"/>
          <w:b w:val="1"/>
          <w:bCs w:val="1"/>
          <w:color w:val="auto"/>
        </w:rPr>
        <w:t>ASR Agreement</w:t>
      </w:r>
      <w:r>
        <w:rPr>
          <w:rFonts w:ascii="Arial" w:cs="Arial" w:eastAsia="Arial" w:hAnsi="Arial"/>
          <w:sz w:val="19"/>
          <w:szCs w:val="19"/>
          <w:color w:val="auto"/>
        </w:rPr>
        <w:t>”) publicly announced by the Parent or the Borrower and specifying the maximum aggregate amount of the stock to be repurchased pursuant to such ASR Agreement (the “</w:t>
      </w:r>
      <w:r>
        <w:rPr>
          <w:rFonts w:ascii="Arial" w:cs="Arial" w:eastAsia="Arial" w:hAnsi="Arial"/>
          <w:sz w:val="19"/>
          <w:szCs w:val="19"/>
          <w:b w:val="1"/>
          <w:bCs w:val="1"/>
          <w:color w:val="auto"/>
        </w:rPr>
        <w:t>Maximum ASR 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such ASR Agreement is publicly announced, the Borrower would be in compliance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immediately after giving Pro Forma Effect to the Maximum ASR Amount;</w:t>
      </w:r>
    </w:p>
    <w:p>
      <w:pPr>
        <w:spacing w:after="0" w:line="148" w:lineRule="exact"/>
        <w:rPr>
          <w:rFonts w:ascii="Arial" w:cs="Arial" w:eastAsia="Arial" w:hAnsi="Arial"/>
          <w:sz w:val="19"/>
          <w:szCs w:val="19"/>
          <w:color w:val="auto"/>
        </w:rPr>
      </w:pPr>
    </w:p>
    <w:p>
      <w:pPr>
        <w:jc w:val="both"/>
        <w:ind w:firstLine="1304"/>
        <w:spacing w:after="0" w:line="252" w:lineRule="auto"/>
        <w:tabs>
          <w:tab w:leader="none" w:pos="188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Borrower may make Restricted Payments pursuant to and in accordance with stock option plans or other benefit plans or agreements for directors, management, employees or other eligible service providers of the Borrower, the Parent or its Subsidiaries, including the repurchase of Equity Interests or rights in respect thereof granted to directors, management, employees or other eligible service providers of the Borrower or its Subsidiaries pursuant to a right of repurchase set forth in any such stock option plans or other benefit plans or agreements in connection with a cessation of service;</w:t>
      </w:r>
    </w:p>
    <w:p>
      <w:pPr>
        <w:spacing w:after="0" w:line="148" w:lineRule="exact"/>
        <w:rPr>
          <w:rFonts w:ascii="Arial" w:cs="Arial" w:eastAsia="Arial" w:hAnsi="Arial"/>
          <w:sz w:val="19"/>
          <w:szCs w:val="19"/>
          <w:color w:val="auto"/>
        </w:rPr>
      </w:pPr>
    </w:p>
    <w:p>
      <w:pPr>
        <w:jc w:val="both"/>
        <w:ind w:firstLine="1304"/>
        <w:spacing w:after="0" w:line="257" w:lineRule="auto"/>
        <w:tabs>
          <w:tab w:leader="none" w:pos="199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then exists or would result therefrom, the Borrower may make Restricted Payments not otherwise permitted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in an amount not to exceed the amount of proceeds of any substantially concurrent issuance of Equity Interests of the Parent (or any parent company thereof) which have been contributed as common equity to the Borrower or of any substantially concurrent issuance of Equity Interests of the Borrower;</w:t>
      </w:r>
    </w:p>
    <w:p>
      <w:pPr>
        <w:spacing w:after="0" w:line="144" w:lineRule="exact"/>
        <w:rPr>
          <w:rFonts w:ascii="Arial" w:cs="Arial" w:eastAsia="Arial" w:hAnsi="Arial"/>
          <w:sz w:val="19"/>
          <w:szCs w:val="19"/>
          <w:color w:val="auto"/>
        </w:rPr>
      </w:pPr>
    </w:p>
    <w:p>
      <w:pPr>
        <w:jc w:val="both"/>
        <w:ind w:firstLine="1304"/>
        <w:spacing w:after="0" w:line="216" w:lineRule="auto"/>
        <w:tabs>
          <w:tab w:leader="none" w:pos="189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so long as no Default or Event of Default then exists or would result therefrom, the Borrower may make Restricted Payments not otherwise permitted under this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in an unlimited amount (a) if, prior to the Trigger Date, Total Liquidity immediately after giving Pro Forma Effect to such Restricted Payment is equal to or greater than $600,000,000 or (b) if, on or after the Trigger Date, the Consolidated Leverage Ratio immediately after giving Pro Forma Effect to such Restricted Payment is less than or equal to 2.00:1.00; and</w:t>
      </w:r>
    </w:p>
    <w:p>
      <w:pPr>
        <w:spacing w:after="0" w:line="157" w:lineRule="exact"/>
        <w:rPr>
          <w:rFonts w:ascii="Arial" w:cs="Arial" w:eastAsia="Arial" w:hAnsi="Arial"/>
          <w:sz w:val="22"/>
          <w:szCs w:val="22"/>
          <w:color w:val="auto"/>
        </w:rPr>
      </w:pPr>
    </w:p>
    <w:p>
      <w:pPr>
        <w:ind w:firstLine="1304"/>
        <w:spacing w:after="0" w:line="232" w:lineRule="auto"/>
        <w:tabs>
          <w:tab w:leader="none" w:pos="179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Borrower may make and pay Restricted Payments to the Parent (and in the cases of clauses (A) and (B), to the other equity owners of the Borrower):</w:t>
      </w:r>
    </w:p>
    <w:p>
      <w:pPr>
        <w:spacing w:after="0" w:line="159" w:lineRule="exact"/>
        <w:rPr>
          <w:sz w:val="20"/>
          <w:szCs w:val="20"/>
          <w:color w:val="auto"/>
        </w:rPr>
      </w:pPr>
    </w:p>
    <w:p>
      <w:pPr>
        <w:jc w:val="both"/>
        <w:ind w:left="660" w:firstLine="644"/>
        <w:spacing w:after="0" w:line="218" w:lineRule="auto"/>
        <w:tabs>
          <w:tab w:leader="none" w:pos="183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(1) with respect to any taxable period (x) for which the Borrower and/or any of its Subsidiaries are members of a consolidated, combined, affiliated, unitary or similar income tax group for U.S. federal and/or applicable state or local income Tax purposes of which the Parent or any holding company of the Parent is the common parent, or (y) for which the Borrower is a partnership or disregarded entity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01" w:right="339" w:bottom="1440" w:gutter="0" w:footer="0" w:header="0"/>
        </w:sectPr>
      </w:pPr>
    </w:p>
    <w:bookmarkStart w:id="188" w:name="page189"/>
    <w:bookmarkEnd w:id="188"/>
    <w:p>
      <w:pPr>
        <w:jc w:val="both"/>
        <w:ind w:left="660"/>
        <w:spacing w:after="0" w:line="221" w:lineRule="auto"/>
        <w:rPr>
          <w:sz w:val="20"/>
          <w:szCs w:val="20"/>
          <w:color w:val="auto"/>
        </w:rPr>
      </w:pPr>
      <w:r>
        <w:rPr>
          <w:rFonts w:ascii="Arial" w:cs="Arial" w:eastAsia="Arial" w:hAnsi="Arial"/>
          <w:sz w:val="21"/>
          <w:szCs w:val="21"/>
          <w:color w:val="auto"/>
        </w:rPr>
        <w:t xml:space="preserve">federal income tax purposes that is wholly owned (directly or indirectly) by a C corporation for U.S. federal and/or applicable state or local income Tax purposes, in an amount not to exceed the amount of any U.S. federal, state and/or local income Taxes that the Borrower and/or its Subsidiaries, as applicable, would have paid for such taxable period had the Borrower and/or its Subsidiaries, as applicable, been a stand-alone corporate taxpayer or a stand-alone corporate group and (2) such amounts as are needed to pay any amounts owed by the Parent under the Tax Receivable Agreement but which shall not include any amounts required to be paid due to a change of control or any early termination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distributions pursuant to clause (A)(1) in respect of an Excluded Subsidiary shall be permitted only to the extent that cash distributions were made by such Excluded Subsidiary to the Borrower or any other Subsidiary that is a Loan Party for such purpose;</w:t>
      </w:r>
    </w:p>
    <w:p>
      <w:pPr>
        <w:spacing w:after="0" w:line="159" w:lineRule="exact"/>
        <w:rPr>
          <w:sz w:val="20"/>
          <w:szCs w:val="20"/>
          <w:color w:val="auto"/>
        </w:rPr>
      </w:pPr>
    </w:p>
    <w:p>
      <w:pPr>
        <w:jc w:val="both"/>
        <w:ind w:left="660" w:firstLine="644"/>
        <w:spacing w:after="0" w:line="242" w:lineRule="auto"/>
        <w:tabs>
          <w:tab w:leader="none" w:pos="181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(1) with respect to any taxable period ending after the Effective Date for which the Borrower is a partnership or disregarded entity for U.S. federal income Tax purposes (other than a partnership or disregarded entity described in clause (x)(A)(1)(y) above), distributions to its owners in amounts not to exceed (x) the taxable income of the Borrower and its Subsidiaries for such fiscal year (as determined based on such assumptions as may be made by the managing member (or equivalent governing body) of Borrower, including, without limitation, not taking into account for this purpose for any such taxable period any adjustments under Sections 743(b) of the Code), multiplied by (y) the highest combined federal, state and local tax rates applicable to the income of individuals or corporations, resident of New York, New York, whichever is higher and (2) if payments to the Parent pursuant to the foregoing clause (1) are not sufficient for the Parent to pay its income tax liabilities and also the amounts owed by the Parent under the Tax Receivable Agreement, such additional amounts as are needed to pay any amounts owed by the Parent under the Tax Receivable Agreement but which shall not include any amounts required to be paid due to a change of control or any early termination payments; provided that no payment may be made pursuant to both this subclause (B) and subclause (A) of this clause (x) with respect to any period;</w:t>
      </w:r>
    </w:p>
    <w:p>
      <w:pPr>
        <w:spacing w:after="0" w:line="380" w:lineRule="exact"/>
        <w:rPr>
          <w:rFonts w:ascii="Arial" w:cs="Arial" w:eastAsia="Arial" w:hAnsi="Arial"/>
          <w:sz w:val="19"/>
          <w:szCs w:val="19"/>
          <w:color w:val="auto"/>
        </w:rPr>
      </w:pPr>
    </w:p>
    <w:p>
      <w:pPr>
        <w:jc w:val="both"/>
        <w:ind w:left="660" w:firstLine="644"/>
        <w:spacing w:after="0" w:line="218" w:lineRule="auto"/>
        <w:tabs>
          <w:tab w:leader="none" w:pos="186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proceeds of which shall be used to allow the Parent to pay its operating costs and expenses incurred in the ordinary course of business and other corporate overhead costs and expenses (including administrative, legal, accounting and other professional costs and expenses) to the extent attributable to the ownership or operation of the Borrower and its Subsidiaries;</w:t>
      </w:r>
    </w:p>
    <w:p>
      <w:pPr>
        <w:spacing w:after="0" w:line="160" w:lineRule="exact"/>
        <w:rPr>
          <w:rFonts w:ascii="Arial" w:cs="Arial" w:eastAsia="Arial" w:hAnsi="Arial"/>
          <w:sz w:val="22"/>
          <w:szCs w:val="22"/>
          <w:color w:val="auto"/>
        </w:rPr>
      </w:pPr>
    </w:p>
    <w:p>
      <w:pPr>
        <w:ind w:left="1820" w:hanging="516"/>
        <w:spacing w:after="0"/>
        <w:tabs>
          <w:tab w:leader="none" w:pos="18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191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proceeds of which shall be used to allow the Parent to pay fees and expenses related to any equity issuance or offering or debt issuance, incurrence or offering, Disposition or acquisition or investment transaction permitted by this Agreement, whether or not consummated;</w:t>
      </w:r>
    </w:p>
    <w:p>
      <w:pPr>
        <w:spacing w:after="0" w:line="158" w:lineRule="exact"/>
        <w:rPr>
          <w:rFonts w:ascii="Arial" w:cs="Arial" w:eastAsia="Arial" w:hAnsi="Arial"/>
          <w:sz w:val="22"/>
          <w:szCs w:val="22"/>
          <w:color w:val="auto"/>
        </w:rPr>
      </w:pPr>
    </w:p>
    <w:p>
      <w:pPr>
        <w:jc w:val="both"/>
        <w:ind w:left="660" w:firstLine="644"/>
        <w:spacing w:after="0" w:line="249" w:lineRule="auto"/>
        <w:tabs>
          <w:tab w:leader="none" w:pos="185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proceeds of which shall be used to pay fees and expenses (including real and personal property Taxes, and franchise, excise or similar taxes) required to maintain its corporate existence or good standing under applicable law, travel expenses, customary salary, bonus, long-term incentive plan awards, severance and other benefits payable to, and indemnities provided on behalf of, directors, officers, members of management, employees and consultants of the Parent, and any payroll, social security or similar taxes thereof, to the extent such fees, expenses, salaries, bonuses, other benefits and indemnities are attributable to the ownership or operation of the Borrower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01" w:right="339" w:bottom="1440" w:gutter="0" w:footer="0" w:header="0"/>
        </w:sectPr>
      </w:pPr>
    </w:p>
    <w:bookmarkStart w:id="189" w:name="page190"/>
    <w:bookmarkEnd w:id="189"/>
    <w:p>
      <w:pPr>
        <w:jc w:val="both"/>
        <w:ind w:left="660" w:firstLine="644"/>
        <w:spacing w:after="0" w:line="223" w:lineRule="auto"/>
        <w:tabs>
          <w:tab w:leader="none" w:pos="185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so long as no Default or Event of Default then exists or would result therefrom and subject to the Borrower being in compliance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immediately after giving Pro Forma Effect to such Restricted Payment, the proceeds of which shall be used to pay interest payments on the Parent Convertible Notes;</w:t>
      </w:r>
    </w:p>
    <w:p>
      <w:pPr>
        <w:spacing w:after="0" w:line="158" w:lineRule="exact"/>
        <w:rPr>
          <w:rFonts w:ascii="Arial" w:cs="Arial" w:eastAsia="Arial" w:hAnsi="Arial"/>
          <w:sz w:val="22"/>
          <w:szCs w:val="22"/>
          <w:color w:val="auto"/>
        </w:rPr>
      </w:pPr>
    </w:p>
    <w:p>
      <w:pPr>
        <w:ind w:left="660" w:firstLine="644"/>
        <w:spacing w:after="0" w:line="232" w:lineRule="auto"/>
        <w:tabs>
          <w:tab w:leader="none" w:pos="185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pay monitoring, consulting, management, transaction, advisory, termination or similar fees relating to the ownership or operations of the Borrower and/or its subsidiaries;</w:t>
      </w:r>
    </w:p>
    <w:p>
      <w:pPr>
        <w:spacing w:after="0" w:line="158" w:lineRule="exact"/>
        <w:rPr>
          <w:rFonts w:ascii="Arial" w:cs="Arial" w:eastAsia="Arial" w:hAnsi="Arial"/>
          <w:sz w:val="22"/>
          <w:szCs w:val="22"/>
          <w:color w:val="auto"/>
        </w:rPr>
      </w:pPr>
    </w:p>
    <w:p>
      <w:pPr>
        <w:ind w:left="660" w:firstLine="644"/>
        <w:spacing w:after="0" w:line="232" w:lineRule="auto"/>
        <w:tabs>
          <w:tab w:leader="none" w:pos="17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pay audit and other accounting and reporting expenses at the Parent to the extent relating to the ownership or operations of the Borrower and/or its subsidiaries;</w:t>
      </w:r>
    </w:p>
    <w:p>
      <w:pPr>
        <w:spacing w:after="0" w:line="158" w:lineRule="exact"/>
        <w:rPr>
          <w:rFonts w:ascii="Arial" w:cs="Arial" w:eastAsia="Arial" w:hAnsi="Arial"/>
          <w:sz w:val="22"/>
          <w:szCs w:val="22"/>
          <w:color w:val="auto"/>
        </w:rPr>
      </w:pPr>
    </w:p>
    <w:p>
      <w:pPr>
        <w:ind w:left="660" w:firstLine="644"/>
        <w:spacing w:after="0" w:line="232" w:lineRule="auto"/>
        <w:tabs>
          <w:tab w:leader="none" w:pos="181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to pay insurance premiums to the extent relating to the ownership or operations of the Borrower and/or its subsidiaries; and</w:t>
      </w:r>
    </w:p>
    <w:p>
      <w:pPr>
        <w:spacing w:after="0" w:line="158" w:lineRule="exact"/>
        <w:rPr>
          <w:rFonts w:ascii="Arial" w:cs="Arial" w:eastAsia="Arial" w:hAnsi="Arial"/>
          <w:sz w:val="22"/>
          <w:szCs w:val="22"/>
          <w:color w:val="auto"/>
        </w:rPr>
      </w:pPr>
    </w:p>
    <w:p>
      <w:pPr>
        <w:jc w:val="both"/>
        <w:ind w:left="660" w:firstLine="644"/>
        <w:spacing w:after="0" w:line="268" w:lineRule="auto"/>
        <w:tabs>
          <w:tab w:leader="none" w:pos="191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proceeds of which shall be used by the Parent to make payments and consummate other transactions otherwise contemplated to be Restricted Payments permitted to be made by the Borrower for the purposes set forth in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(and shall be deemed to be a utilization of such capacity from and after such time); and</w:t>
      </w:r>
    </w:p>
    <w:p>
      <w:pPr>
        <w:spacing w:after="0" w:line="132" w:lineRule="exact"/>
        <w:rPr>
          <w:sz w:val="20"/>
          <w:szCs w:val="20"/>
          <w:color w:val="auto"/>
        </w:rPr>
      </w:pPr>
    </w:p>
    <w:p>
      <w:pPr>
        <w:jc w:val="both"/>
        <w:ind w:firstLine="1304"/>
        <w:spacing w:after="0" w:line="218" w:lineRule="auto"/>
        <w:tabs>
          <w:tab w:leader="none" w:pos="19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Borrower may make Restricted Payments in accordance with Article IX of the Third Amended and Restated Limited Liability Company Agreement of the Borrower, so long as such Restricted Payments are funded with Equity Interests of the Parent or the proceeds from an issuance of Equity Interests of the Parent to the extent such proceeds were contributed to the Borrower.</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The Borrower will not, and will not permit any of its Subsidiaries to, directly or indirectly, enter into, incur or permit to exist any agreement or other arrangement that prohibits, restricts or imposes any condition upon (a) the ability of the Borrower or any Subsidiary to create, incur or permit to exist any Lien upon any of its property or assets to secure the Obligations, or (b) the ability of any Subsidiary to pay dividends or other distributions with respect to any shares of its capital stock or to make or repay loans or advances to the Borrower or any other Subsidiary or of any Subsidiary to Guarantee Indebtedness of the Borrower or any other Subsidiary under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law or by this Agreement or any other Loan Document, (ii) the foregoing shall not apply to restrictions and conditions existing on the Effective Date identified on </w:t>
      </w:r>
      <w:r>
        <w:rPr>
          <w:rFonts w:ascii="Arial" w:cs="Arial" w:eastAsia="Arial" w:hAnsi="Arial"/>
          <w:sz w:val="19"/>
          <w:szCs w:val="19"/>
          <w:u w:val="single" w:color="auto"/>
          <w:color w:val="auto"/>
        </w:rPr>
        <w:t>Schedule 6.06</w:t>
      </w:r>
      <w:r>
        <w:rPr>
          <w:rFonts w:ascii="Arial" w:cs="Arial" w:eastAsia="Arial" w:hAnsi="Arial"/>
          <w:sz w:val="19"/>
          <w:szCs w:val="19"/>
          <w:color w:val="auto"/>
        </w:rPr>
        <w:t xml:space="preserve"> (and shall apply to any extension or renewal of, or any amendment or modification materially expanding the scope of, any such restrictions or conditions taken as a whole), (iii) the foregoing shall not apply to customary restrictions and conditions contained in agreements relating to the sale of a Subsidiary or assets of the Borrower or any Subsidiary pending such sale, provided such restrictions and conditions apply only to the Subsidiary or assets to be sold and such sale is not prohibited hereunder, (iv) the foregoing shall not apply to any agreement or restriction or condition in effect at the time any Subsidiary becomes a Subsidiary of the Borrower, so long as such agreement was not entered into solely in contemplation of such Person becoming a Subsidiary of the Borrower,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(viii) the foregoing shall not apply to restrictions or conditions set forth in any agreement governing Indebtedness not prohibited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are customary for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01" w:right="339" w:bottom="1440" w:gutter="0" w:footer="0" w:header="0"/>
        </w:sectPr>
      </w:pPr>
    </w:p>
    <w:bookmarkStart w:id="190" w:name="page191"/>
    <w:bookmarkEnd w:id="190"/>
    <w:p>
      <w:pPr>
        <w:jc w:val="both"/>
        <w:spacing w:after="0" w:line="232" w:lineRule="auto"/>
        <w:rPr>
          <w:sz w:val="20"/>
          <w:szCs w:val="20"/>
          <w:color w:val="auto"/>
        </w:rPr>
      </w:pPr>
      <w:r>
        <w:rPr>
          <w:rFonts w:ascii="Arial" w:cs="Arial" w:eastAsia="Arial" w:hAnsi="Arial"/>
          <w:sz w:val="22"/>
          <w:szCs w:val="22"/>
          <w:color w:val="auto"/>
        </w:rPr>
        <w:t>and (ix) the foregoing shall not apply to restrictions on cash or other deposits (including escrowed funds) imposed under contracts entered into in the ordinary course of business.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will not, and will not permit any of its Subsidiaries to, sell, lease or otherwise transfer any property or assets to, or purchase, lease or otherwise acquire any property or assets from, or otherwise engage in any other transactions with, any of its Affiliates (other than between or among the Borrower and its Subsidiaries to the extent otherwise permitted hereunder), except (a) on terms and conditions not less favorable to the Borrower or such Subsidiary than could be obtained on an arm’s-length basis from unrelated third parties, (b) payment of customary directors’ fees, reasonable out-of-pocket expense reimbursement, indemnities (including the provision of directors and officers insurance) and compensation arrangements for members of the board of directors, officers or other employees of the Borrower or any of its Subsidiaries, (c) transactions approved by a majority of the disinterested directors of the Borrower’s board of directors,</w:t>
      </w:r>
    </w:p>
    <w:p>
      <w:pPr>
        <w:spacing w:after="0" w:line="5" w:lineRule="exact"/>
        <w:rPr>
          <w:sz w:val="20"/>
          <w:szCs w:val="20"/>
          <w:color w:val="auto"/>
        </w:rPr>
      </w:pPr>
    </w:p>
    <w:p>
      <w:pPr>
        <w:jc w:val="both"/>
        <w:ind w:firstLine="8"/>
        <w:spacing w:after="0" w:line="217" w:lineRule="auto"/>
        <w:tabs>
          <w:tab w:leader="none" w:pos="30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any transaction involving amounts less than, in the aggregate, the greater of (i) $17,500,000 and (ii) 2.50% of the Total Assets at any time outstanding, (e) any Restricted Payment permitted by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and (f) the agreements listed on </w:t>
      </w:r>
      <w:r>
        <w:rPr>
          <w:rFonts w:ascii="Arial" w:cs="Arial" w:eastAsia="Arial" w:hAnsi="Arial"/>
          <w:sz w:val="22"/>
          <w:szCs w:val="22"/>
          <w:u w:val="single" w:color="auto"/>
          <w:color w:val="auto"/>
        </w:rPr>
        <w:t>Schedule 6.07</w:t>
      </w:r>
      <w:r>
        <w:rPr>
          <w:rFonts w:ascii="Arial" w:cs="Arial" w:eastAsia="Arial" w:hAnsi="Arial"/>
          <w:sz w:val="22"/>
          <w:szCs w:val="22"/>
          <w:color w:val="auto"/>
        </w:rPr>
        <w:t xml:space="preserve"> hereto.</w:t>
      </w:r>
    </w:p>
    <w:p>
      <w:pPr>
        <w:spacing w:after="0" w:line="1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Borrower will not request any Borrowing or Letter of Credit, and the Borrower shall not use, and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Disposition of Property</w:t>
      </w:r>
      <w:r>
        <w:rPr>
          <w:rFonts w:ascii="Arial" w:cs="Arial" w:eastAsia="Arial" w:hAnsi="Arial"/>
          <w:sz w:val="22"/>
          <w:szCs w:val="22"/>
          <w:color w:val="auto"/>
        </w:rPr>
        <w:t>. The Borrower will not, and will not permit any of its Subsidiaries to, Dispose of any of its property, whether now owned or hereafter acquired, in each case, except:</w:t>
      </w:r>
    </w:p>
    <w:p>
      <w:pPr>
        <w:spacing w:after="0" w:line="159" w:lineRule="exact"/>
        <w:rPr>
          <w:sz w:val="20"/>
          <w:szCs w:val="20"/>
          <w:color w:val="auto"/>
        </w:rPr>
      </w:pPr>
    </w:p>
    <w:p>
      <w:pPr>
        <w:jc w:val="both"/>
        <w:ind w:firstLine="656"/>
        <w:spacing w:after="0" w:line="268" w:lineRule="auto"/>
        <w:tabs>
          <w:tab w:leader="none" w:pos="111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Dispositions of obsolete or worn out property in the ordinary course of business or property that is no longer used or useful in the Borrower’s or its Subsidiaries’ business and the leasing or subleasing in the ordinary course of business of owned or leased properties which are excess properties or are no longer used or useful in the Borrower’s or its Subsidiaries’ businesses;</w:t>
      </w:r>
    </w:p>
    <w:p>
      <w:pPr>
        <w:spacing w:after="0" w:line="132" w:lineRule="exact"/>
        <w:rPr>
          <w:rFonts w:ascii="Arial" w:cs="Arial" w:eastAsia="Arial" w:hAnsi="Arial"/>
          <w:sz w:val="19"/>
          <w:szCs w:val="19"/>
          <w:color w:val="auto"/>
        </w:rPr>
      </w:pPr>
    </w:p>
    <w:p>
      <w:pPr>
        <w:ind w:left="1120" w:hanging="464"/>
        <w:spacing w:after="0"/>
        <w:tabs>
          <w:tab w:leader="none" w:pos="11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sale of inventory and other assets in the ordinary course of business;</w:t>
      </w:r>
    </w:p>
    <w:p>
      <w:pPr>
        <w:spacing w:after="0" w:line="179" w:lineRule="exact"/>
        <w:rPr>
          <w:rFonts w:ascii="Arial" w:cs="Arial" w:eastAsia="Arial" w:hAnsi="Arial"/>
          <w:sz w:val="22"/>
          <w:szCs w:val="22"/>
          <w:color w:val="auto"/>
        </w:rPr>
      </w:pPr>
    </w:p>
    <w:p>
      <w:pPr>
        <w:jc w:val="both"/>
        <w:ind w:firstLine="656"/>
        <w:spacing w:after="0" w:line="223" w:lineRule="auto"/>
        <w:tabs>
          <w:tab w:leader="none" w:pos="118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(i) Dispositions to a Loan Party (other than the Parent), (ii) Dispositions by an Excluded Subsidiary to any other Excluded Subsidiary, and (iii) Dispositions by a Loan Party to an Excluded Subsidiary that are otherwise permitted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656"/>
        <w:spacing w:after="0" w:line="232" w:lineRule="auto"/>
        <w:tabs>
          <w:tab w:leader="none" w:pos="112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(i) Dispositions that constitute Investments that are permitted under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and (ii) Dispositions that constitute Restricted Payments that are permitted under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6.03(a)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656"/>
        <w:spacing w:after="0" w:line="232" w:lineRule="auto"/>
        <w:tabs>
          <w:tab w:leader="none" w:pos="126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grant in the ordinary course of business of any non-exclusive license of patents, trademarks, registrations therefor and other similar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01" w:right="339" w:bottom="1440" w:gutter="0" w:footer="0" w:header="0"/>
        </w:sectPr>
      </w:pPr>
    </w:p>
    <w:bookmarkStart w:id="191" w:name="page192"/>
    <w:bookmarkEnd w:id="191"/>
    <w:p>
      <w:pPr>
        <w:jc w:val="both"/>
        <w:ind w:firstLine="656"/>
        <w:spacing w:after="0" w:line="223" w:lineRule="auto"/>
        <w:tabs>
          <w:tab w:leader="none" w:pos="1133"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lapse, abandonment, or other Dispositions of Intellectual Property of the Parent or any of its Subsidiaries that, in the good faith determination of the Parent or such Subsidiary, is no longer economically desirable to maintain or useful in the conduct of the business of the such Person;</w:t>
      </w:r>
    </w:p>
    <w:p>
      <w:pPr>
        <w:spacing w:after="0" w:line="158" w:lineRule="exact"/>
        <w:rPr>
          <w:rFonts w:ascii="Arial" w:cs="Arial" w:eastAsia="Arial" w:hAnsi="Arial"/>
          <w:sz w:val="22"/>
          <w:szCs w:val="22"/>
          <w:color w:val="auto"/>
        </w:rPr>
      </w:pPr>
    </w:p>
    <w:p>
      <w:pPr>
        <w:ind w:left="1140" w:hanging="484"/>
        <w:spacing w:after="0"/>
        <w:tabs>
          <w:tab w:leader="none" w:pos="114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sale or issuance of any Subsidiary’s Equity Interests to the Borrower or any Guarantor that is a wholly owned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161" w:lineRule="exact"/>
        <w:rPr>
          <w:rFonts w:ascii="Arial" w:cs="Arial" w:eastAsia="Arial" w:hAnsi="Arial"/>
          <w:sz w:val="19"/>
          <w:szCs w:val="19"/>
          <w:color w:val="auto"/>
        </w:rPr>
      </w:pPr>
    </w:p>
    <w:p>
      <w:pPr>
        <w:ind w:firstLine="656"/>
        <w:spacing w:after="0" w:line="232" w:lineRule="auto"/>
        <w:tabs>
          <w:tab w:leader="none" w:pos="10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Disposition of other property having a fair market value not to exceed $5,000,000 in the aggregate for each fiscal year of the Parent;</w:t>
      </w:r>
    </w:p>
    <w:p>
      <w:pPr>
        <w:spacing w:after="0" w:line="158" w:lineRule="exact"/>
        <w:rPr>
          <w:rFonts w:ascii="Arial" w:cs="Arial" w:eastAsia="Arial" w:hAnsi="Arial"/>
          <w:sz w:val="22"/>
          <w:szCs w:val="22"/>
          <w:color w:val="auto"/>
        </w:rPr>
      </w:pPr>
    </w:p>
    <w:p>
      <w:pPr>
        <w:ind w:left="1160" w:hanging="504"/>
        <w:spacing w:after="0"/>
        <w:tabs>
          <w:tab w:leader="none" w:pos="116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Dispositions of other property having a fair market value not to exceed $10,000,000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 w:lineRule="exact"/>
        <w:rPr>
          <w:rFonts w:ascii="Arial" w:cs="Arial" w:eastAsia="Arial" w:hAnsi="Arial"/>
          <w:sz w:val="19"/>
          <w:szCs w:val="19"/>
          <w:color w:val="auto"/>
        </w:rPr>
      </w:pPr>
    </w:p>
    <w:p>
      <w:pPr>
        <w:jc w:val="both"/>
        <w:ind w:firstLine="8"/>
        <w:spacing w:after="0" w:line="218" w:lineRule="auto"/>
        <w:tabs>
          <w:tab w:leader="none" w:pos="26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at the time of such Disposition (other than any such Disposition made pursuant to a legally binding commitment entered into at a time when no Event of Default exists or would result therefrom), no Event of Default then exists or would result from such Disposition, (ii) such Disposition is for fair market value as reasonably determined by the Borrower, and (iii) not less than 75% of the purchase price for the asset or property sold in such Disposition shall be in the form of cash or Cash Equivalents (with (A) any debt secured by such property assumed by the purchaser of such property, (B) any consideration received in the form of Indebtedness that is converted into cash within 90 days after the Disposition of such property, and (C) aggregate non-cash consideration received by the Borrower or applicable Subsidiary having an aggregate fair market value (determined as of the closing of the applicable Disposition for which such non-cash consideration is received) not to exceed in the aggregate the greater of (i) $17,500,000 and (ii) 2.50% of the Total Assets at any time outstanding, in each case deemed to be cash for purposes of this provision);</w:t>
      </w:r>
    </w:p>
    <w:p>
      <w:pPr>
        <w:spacing w:after="0" w:line="164" w:lineRule="exact"/>
        <w:rPr>
          <w:rFonts w:ascii="Arial" w:cs="Arial" w:eastAsia="Arial" w:hAnsi="Arial"/>
          <w:sz w:val="21"/>
          <w:szCs w:val="21"/>
          <w:color w:val="auto"/>
        </w:rPr>
      </w:pPr>
    </w:p>
    <w:p>
      <w:pPr>
        <w:jc w:val="both"/>
        <w:ind w:firstLine="656"/>
        <w:spacing w:after="0" w:line="223" w:lineRule="auto"/>
        <w:tabs>
          <w:tab w:leader="none" w:pos="1192" w:val="left"/>
        </w:tabs>
        <w:numPr>
          <w:ilvl w:val="1"/>
          <w:numId w:val="157"/>
        </w:numPr>
        <w:rPr>
          <w:rFonts w:ascii="Arial" w:cs="Arial" w:eastAsia="Arial" w:hAnsi="Arial"/>
          <w:sz w:val="22"/>
          <w:szCs w:val="22"/>
          <w:color w:val="auto"/>
        </w:rPr>
      </w:pPr>
      <w:r>
        <w:rPr>
          <w:rFonts w:ascii="Arial" w:cs="Arial" w:eastAsia="Arial" w:hAnsi="Arial"/>
          <w:sz w:val="22"/>
          <w:szCs w:val="22"/>
          <w:color w:val="auto"/>
        </w:rPr>
        <w:t>Dispositions of Investments in joint ventures to the extent required by, or made pursuant to customary buy/sell arrangements, drag-along rights, put rights, call rights or similar arrangements between, the joint venture parties set forth in joint venture arrangements and similar binding arrangements;</w:t>
      </w:r>
    </w:p>
    <w:p>
      <w:pPr>
        <w:spacing w:after="0" w:line="158" w:lineRule="exact"/>
        <w:rPr>
          <w:rFonts w:ascii="Arial" w:cs="Arial" w:eastAsia="Arial" w:hAnsi="Arial"/>
          <w:sz w:val="22"/>
          <w:szCs w:val="22"/>
          <w:color w:val="auto"/>
        </w:rPr>
      </w:pPr>
    </w:p>
    <w:p>
      <w:pPr>
        <w:jc w:val="both"/>
        <w:ind w:firstLine="656"/>
        <w:spacing w:after="0" w:line="229" w:lineRule="auto"/>
        <w:tabs>
          <w:tab w:leader="none" w:pos="1260" w:val="left"/>
        </w:tabs>
        <w:numPr>
          <w:ilvl w:val="1"/>
          <w:numId w:val="157"/>
        </w:numPr>
        <w:rPr>
          <w:rFonts w:ascii="Arial" w:cs="Arial" w:eastAsia="Arial" w:hAnsi="Arial"/>
          <w:sz w:val="21"/>
          <w:szCs w:val="21"/>
          <w:color w:val="auto"/>
        </w:rPr>
      </w:pPr>
      <w:r>
        <w:rPr>
          <w:rFonts w:ascii="Arial" w:cs="Arial" w:eastAsia="Arial" w:hAnsi="Arial"/>
          <w:sz w:val="21"/>
          <w:szCs w:val="21"/>
          <w:color w:val="auto"/>
        </w:rPr>
        <w:t>Dispositions, terminations or non-renewals of leases or subleases or licensing or sublicensing agreements (i) the Disposition, termination or non-renewal of which will not materially interfere with the business of the Borrower and their Subsidiaries or (ii) which relate to closed facilities or the discontinuation of any product line to the extent such closing or discontinuation is permitted pursuant to the terms herein, or (iii) is made in the ordinary course of business;</w:t>
      </w:r>
    </w:p>
    <w:p>
      <w:pPr>
        <w:spacing w:after="0" w:line="158" w:lineRule="exact"/>
        <w:rPr>
          <w:rFonts w:ascii="Arial" w:cs="Arial" w:eastAsia="Arial" w:hAnsi="Arial"/>
          <w:sz w:val="21"/>
          <w:szCs w:val="21"/>
          <w:color w:val="auto"/>
        </w:rPr>
      </w:pPr>
    </w:p>
    <w:p>
      <w:pPr>
        <w:ind w:left="1120" w:hanging="464"/>
        <w:spacing w:after="0"/>
        <w:tabs>
          <w:tab w:leader="none" w:pos="112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Dispositions of cash, Cash Equivalents and short-term marketable securities;</w:t>
      </w:r>
    </w:p>
    <w:p>
      <w:pPr>
        <w:spacing w:after="0" w:line="179" w:lineRule="exact"/>
        <w:rPr>
          <w:rFonts w:ascii="Arial" w:cs="Arial" w:eastAsia="Arial" w:hAnsi="Arial"/>
          <w:sz w:val="22"/>
          <w:szCs w:val="22"/>
          <w:color w:val="auto"/>
        </w:rPr>
      </w:pPr>
    </w:p>
    <w:p>
      <w:pPr>
        <w:jc w:val="both"/>
        <w:ind w:firstLine="656"/>
        <w:spacing w:after="0" w:line="223" w:lineRule="auto"/>
        <w:tabs>
          <w:tab w:leader="none" w:pos="119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58" w:lineRule="exact"/>
        <w:rPr>
          <w:rFonts w:ascii="Arial" w:cs="Arial" w:eastAsia="Arial" w:hAnsi="Arial"/>
          <w:sz w:val="22"/>
          <w:szCs w:val="22"/>
          <w:color w:val="auto"/>
        </w:rPr>
      </w:pPr>
    </w:p>
    <w:p>
      <w:pPr>
        <w:ind w:left="1120" w:hanging="464"/>
        <w:spacing w:after="0"/>
        <w:tabs>
          <w:tab w:leader="none" w:pos="112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Disposition of receivables in connection with the compromise, settlement or collection thereof; and</w:t>
      </w:r>
    </w:p>
    <w:p>
      <w:pPr>
        <w:spacing w:after="0" w:line="179" w:lineRule="exact"/>
        <w:rPr>
          <w:rFonts w:ascii="Arial" w:cs="Arial" w:eastAsia="Arial" w:hAnsi="Arial"/>
          <w:sz w:val="22"/>
          <w:szCs w:val="22"/>
          <w:color w:val="auto"/>
        </w:rPr>
      </w:pPr>
    </w:p>
    <w:p>
      <w:pPr>
        <w:ind w:firstLine="656"/>
        <w:spacing w:after="0" w:line="247" w:lineRule="auto"/>
        <w:tabs>
          <w:tab w:leader="none" w:pos="1153"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any surrender or waiver of contractual rights or the settlement, release, recovery on or surrender of contract, tort or other claims of any kind that occur in the ordinary course of the Borrower’s or any Subsidiary’s business.</w:t>
      </w:r>
    </w:p>
    <w:p>
      <w:pPr>
        <w:spacing w:after="0" w:line="15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Financial Covenants</w:t>
      </w:r>
      <w:r>
        <w:rPr>
          <w:rFonts w:ascii="Arial" w:cs="Arial" w:eastAsia="Arial" w:hAnsi="Arial"/>
          <w:sz w:val="22"/>
          <w:szCs w:val="22"/>
          <w:color w:val="auto"/>
        </w:rPr>
        <w:t>. The Parent and the Borrower will not, and will not permit any of its respective Subsidiaries to, (i) from the Effective Date until the Trigger Date,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01" w:right="339" w:bottom="1440" w:gutter="0" w:footer="0" w:header="0"/>
        </w:sectPr>
      </w:pPr>
    </w:p>
    <w:bookmarkStart w:id="192" w:name="page193"/>
    <w:bookmarkEnd w:id="192"/>
    <w:p>
      <w:pPr>
        <w:jc w:val="both"/>
        <w:spacing w:after="0" w:line="268" w:lineRule="auto"/>
        <w:rPr>
          <w:sz w:val="20"/>
          <w:szCs w:val="20"/>
          <w:color w:val="auto"/>
        </w:rPr>
      </w:pPr>
      <w:r>
        <w:rPr>
          <w:rFonts w:ascii="Arial" w:cs="Arial" w:eastAsia="Arial" w:hAnsi="Arial"/>
          <w:sz w:val="19"/>
          <w:szCs w:val="19"/>
          <w:color w:val="auto"/>
        </w:rPr>
        <w:t xml:space="preserve">permit Total Liquidity to be less than $350,000,000 as of the last day of any fiscal quarter of the Parent or on any date on which any Borrowing of a Loan or issuance of any Letter of Credit is made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(y) permit Total Revenues for any Measurement Period ending on any date set forth below to be less than the amount set forth below opposite such date:</w:t>
      </w:r>
    </w:p>
    <w:p>
      <w:pPr>
        <w:spacing w:after="0" w:line="180" w:lineRule="exact"/>
        <w:rPr>
          <w:sz w:val="20"/>
          <w:szCs w:val="20"/>
          <w:color w:val="auto"/>
        </w:rPr>
      </w:pPr>
    </w:p>
    <w:tbl>
      <w:tblPr>
        <w:tblLayout w:type="fixed"/>
        <w:tblInd w:w="1860" w:type="dxa"/>
        <w:tblCellMar>
          <w:top w:w="0" w:type="dxa"/>
          <w:left w:w="0" w:type="dxa"/>
          <w:bottom w:w="0" w:type="dxa"/>
          <w:right w:w="0" w:type="dxa"/>
        </w:tblCellMar>
      </w:tblPr>
      <w:tr>
        <w:trPr>
          <w:trHeight w:val="276"/>
        </w:trPr>
        <w:tc>
          <w:tcPr>
            <w:tcW w:w="2760" w:type="dxa"/>
            <w:vAlign w:val="bottom"/>
          </w:tcPr>
          <w:p>
            <w:pPr>
              <w:ind w:left="420"/>
              <w:spacing w:after="0"/>
              <w:rPr>
                <w:sz w:val="20"/>
                <w:szCs w:val="20"/>
                <w:color w:val="auto"/>
              </w:rPr>
            </w:pPr>
            <w:r>
              <w:rPr>
                <w:rFonts w:ascii="Arial" w:cs="Arial" w:eastAsia="Arial" w:hAnsi="Arial"/>
                <w:sz w:val="22"/>
                <w:szCs w:val="22"/>
                <w:b w:val="1"/>
                <w:bCs w:val="1"/>
                <w:color w:val="auto"/>
              </w:rPr>
              <w:t>Date of Determination</w:t>
            </w:r>
          </w:p>
        </w:tc>
        <w:tc>
          <w:tcPr>
            <w:tcW w:w="2280" w:type="dxa"/>
            <w:vAlign w:val="bottom"/>
          </w:tcPr>
          <w:p>
            <w:pPr>
              <w:ind w:left="520"/>
              <w:spacing w:after="0"/>
              <w:rPr>
                <w:sz w:val="20"/>
                <w:szCs w:val="20"/>
                <w:color w:val="auto"/>
              </w:rPr>
            </w:pPr>
            <w:r>
              <w:rPr>
                <w:rFonts w:ascii="Arial" w:cs="Arial" w:eastAsia="Arial" w:hAnsi="Arial"/>
                <w:sz w:val="22"/>
                <w:szCs w:val="22"/>
                <w:b w:val="1"/>
                <w:bCs w:val="1"/>
                <w:color w:val="auto"/>
                <w:w w:val="89"/>
              </w:rPr>
              <w:t>Minimum Revenue</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December 31, 2021</w:t>
            </w:r>
          </w:p>
        </w:tc>
        <w:tc>
          <w:tcPr>
            <w:tcW w:w="2280" w:type="dxa"/>
            <w:vAlign w:val="bottom"/>
          </w:tcPr>
          <w:p>
            <w:pPr>
              <w:ind w:left="260"/>
              <w:spacing w:after="0"/>
              <w:rPr>
                <w:sz w:val="20"/>
                <w:szCs w:val="20"/>
                <w:color w:val="auto"/>
              </w:rPr>
            </w:pPr>
            <w:r>
              <w:rPr>
                <w:rFonts w:ascii="Arial" w:cs="Arial" w:eastAsia="Arial" w:hAnsi="Arial"/>
                <w:sz w:val="22"/>
                <w:szCs w:val="22"/>
                <w:color w:val="auto"/>
              </w:rPr>
              <w:t>$570,000,000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March 31, 2022</w:t>
            </w:r>
          </w:p>
        </w:tc>
        <w:tc>
          <w:tcPr>
            <w:tcW w:w="2280" w:type="dxa"/>
            <w:vAlign w:val="bottom"/>
          </w:tcPr>
          <w:p>
            <w:pPr>
              <w:ind w:left="260"/>
              <w:spacing w:after="0"/>
              <w:rPr>
                <w:sz w:val="20"/>
                <w:szCs w:val="20"/>
                <w:color w:val="auto"/>
              </w:rPr>
            </w:pPr>
            <w:r>
              <w:rPr>
                <w:rFonts w:ascii="Arial" w:cs="Arial" w:eastAsia="Arial" w:hAnsi="Arial"/>
                <w:sz w:val="22"/>
                <w:szCs w:val="22"/>
                <w:color w:val="auto"/>
              </w:rPr>
              <w:t>$635,000,000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June 30, 2022</w:t>
            </w:r>
          </w:p>
        </w:tc>
        <w:tc>
          <w:tcPr>
            <w:tcW w:w="2280" w:type="dxa"/>
            <w:vAlign w:val="bottom"/>
          </w:tcPr>
          <w:p>
            <w:pPr>
              <w:ind w:left="260"/>
              <w:spacing w:after="0"/>
              <w:rPr>
                <w:sz w:val="20"/>
                <w:szCs w:val="20"/>
                <w:color w:val="auto"/>
              </w:rPr>
            </w:pPr>
            <w:r>
              <w:rPr>
                <w:rFonts w:ascii="Arial" w:cs="Arial" w:eastAsia="Arial" w:hAnsi="Arial"/>
                <w:sz w:val="22"/>
                <w:szCs w:val="22"/>
                <w:color w:val="auto"/>
              </w:rPr>
              <w:t>$690,000,000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September 30, 2022</w:t>
            </w:r>
          </w:p>
        </w:tc>
        <w:tc>
          <w:tcPr>
            <w:tcW w:w="2280" w:type="dxa"/>
            <w:vAlign w:val="bottom"/>
          </w:tcPr>
          <w:p>
            <w:pPr>
              <w:ind w:left="260"/>
              <w:spacing w:after="0"/>
              <w:rPr>
                <w:sz w:val="20"/>
                <w:szCs w:val="20"/>
                <w:color w:val="auto"/>
              </w:rPr>
            </w:pPr>
            <w:r>
              <w:rPr>
                <w:rFonts w:ascii="Arial" w:cs="Arial" w:eastAsia="Arial" w:hAnsi="Arial"/>
                <w:sz w:val="22"/>
                <w:szCs w:val="22"/>
                <w:color w:val="auto"/>
              </w:rPr>
              <w:t>$880,000,000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December 31, 2022</w:t>
            </w:r>
          </w:p>
        </w:tc>
        <w:tc>
          <w:tcPr>
            <w:tcW w:w="2280" w:type="dxa"/>
            <w:vAlign w:val="bottom"/>
          </w:tcPr>
          <w:p>
            <w:pPr>
              <w:ind w:left="260"/>
              <w:spacing w:after="0"/>
              <w:rPr>
                <w:sz w:val="20"/>
                <w:szCs w:val="20"/>
                <w:color w:val="auto"/>
              </w:rPr>
            </w:pPr>
            <w:r>
              <w:rPr>
                <w:rFonts w:ascii="Arial" w:cs="Arial" w:eastAsia="Arial" w:hAnsi="Arial"/>
                <w:sz w:val="22"/>
                <w:szCs w:val="22"/>
                <w:color w:val="auto"/>
              </w:rPr>
              <w:t>$950,000,000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March 31, 2023</w:t>
            </w:r>
          </w:p>
        </w:tc>
        <w:tc>
          <w:tcPr>
            <w:tcW w:w="2280" w:type="dxa"/>
            <w:vAlign w:val="bottom"/>
          </w:tcPr>
          <w:p>
            <w:pPr>
              <w:ind w:left="260"/>
              <w:spacing w:after="0"/>
              <w:rPr>
                <w:sz w:val="20"/>
                <w:szCs w:val="20"/>
                <w:color w:val="auto"/>
              </w:rPr>
            </w:pPr>
            <w:r>
              <w:rPr>
                <w:rFonts w:ascii="Arial" w:cs="Arial" w:eastAsia="Arial" w:hAnsi="Arial"/>
                <w:sz w:val="22"/>
                <w:szCs w:val="22"/>
                <w:color w:val="auto"/>
              </w:rPr>
              <w:t>$985,000,000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June 30, 2023</w:t>
            </w:r>
          </w:p>
        </w:tc>
        <w:tc>
          <w:tcPr>
            <w:tcW w:w="2280" w:type="dxa"/>
            <w:vAlign w:val="bottom"/>
          </w:tcPr>
          <w:p>
            <w:pPr>
              <w:ind w:left="260"/>
              <w:spacing w:after="0"/>
              <w:rPr>
                <w:sz w:val="20"/>
                <w:szCs w:val="20"/>
                <w:color w:val="auto"/>
              </w:rPr>
            </w:pPr>
            <w:r>
              <w:rPr>
                <w:rFonts w:ascii="Arial" w:cs="Arial" w:eastAsia="Arial" w:hAnsi="Arial"/>
                <w:sz w:val="22"/>
                <w:szCs w:val="22"/>
                <w:color w:val="auto"/>
              </w:rPr>
              <w:t>$1,140,000,000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September 30, 2023</w:t>
            </w:r>
          </w:p>
        </w:tc>
        <w:tc>
          <w:tcPr>
            <w:tcW w:w="2280" w:type="dxa"/>
            <w:vAlign w:val="bottom"/>
          </w:tcPr>
          <w:p>
            <w:pPr>
              <w:ind w:left="260"/>
              <w:spacing w:after="0"/>
              <w:rPr>
                <w:sz w:val="20"/>
                <w:szCs w:val="20"/>
                <w:color w:val="auto"/>
              </w:rPr>
            </w:pPr>
            <w:r>
              <w:rPr>
                <w:rFonts w:ascii="Arial" w:cs="Arial" w:eastAsia="Arial" w:hAnsi="Arial"/>
                <w:sz w:val="22"/>
                <w:szCs w:val="22"/>
                <w:color w:val="auto"/>
              </w:rPr>
              <w:t>$1,185,000,000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December 31, 2023</w:t>
            </w:r>
          </w:p>
        </w:tc>
        <w:tc>
          <w:tcPr>
            <w:tcW w:w="2280" w:type="dxa"/>
            <w:vAlign w:val="bottom"/>
          </w:tcPr>
          <w:p>
            <w:pPr>
              <w:ind w:left="260"/>
              <w:spacing w:after="0"/>
              <w:rPr>
                <w:sz w:val="20"/>
                <w:szCs w:val="20"/>
                <w:color w:val="auto"/>
              </w:rPr>
            </w:pPr>
            <w:r>
              <w:rPr>
                <w:rFonts w:ascii="Arial" w:cs="Arial" w:eastAsia="Arial" w:hAnsi="Arial"/>
                <w:sz w:val="22"/>
                <w:szCs w:val="22"/>
                <w:color w:val="auto"/>
              </w:rPr>
              <w:t>$1,345,000,000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March 31, 2024</w:t>
            </w:r>
          </w:p>
        </w:tc>
        <w:tc>
          <w:tcPr>
            <w:tcW w:w="2280" w:type="dxa"/>
            <w:vAlign w:val="bottom"/>
          </w:tcPr>
          <w:p>
            <w:pPr>
              <w:ind w:left="260"/>
              <w:spacing w:after="0"/>
              <w:rPr>
                <w:sz w:val="20"/>
                <w:szCs w:val="20"/>
                <w:color w:val="auto"/>
              </w:rPr>
            </w:pPr>
            <w:r>
              <w:rPr>
                <w:rFonts w:ascii="Arial" w:cs="Arial" w:eastAsia="Arial" w:hAnsi="Arial"/>
                <w:sz w:val="22"/>
                <w:szCs w:val="22"/>
                <w:color w:val="auto"/>
              </w:rPr>
              <w:t>$1,445,000,000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June 30, 2024</w:t>
            </w:r>
          </w:p>
        </w:tc>
        <w:tc>
          <w:tcPr>
            <w:tcW w:w="2280" w:type="dxa"/>
            <w:vAlign w:val="bottom"/>
          </w:tcPr>
          <w:p>
            <w:pPr>
              <w:ind w:left="260"/>
              <w:spacing w:after="0"/>
              <w:rPr>
                <w:sz w:val="20"/>
                <w:szCs w:val="20"/>
                <w:color w:val="auto"/>
              </w:rPr>
            </w:pPr>
            <w:r>
              <w:rPr>
                <w:rFonts w:ascii="Arial" w:cs="Arial" w:eastAsia="Arial" w:hAnsi="Arial"/>
                <w:sz w:val="22"/>
                <w:szCs w:val="22"/>
                <w:color w:val="auto"/>
              </w:rPr>
              <w:t>$1,675,000,000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September 30, 2024</w:t>
            </w:r>
          </w:p>
        </w:tc>
        <w:tc>
          <w:tcPr>
            <w:tcW w:w="2280" w:type="dxa"/>
            <w:vAlign w:val="bottom"/>
          </w:tcPr>
          <w:p>
            <w:pPr>
              <w:ind w:left="260"/>
              <w:spacing w:after="0"/>
              <w:rPr>
                <w:sz w:val="20"/>
                <w:szCs w:val="20"/>
                <w:color w:val="auto"/>
              </w:rPr>
            </w:pPr>
            <w:r>
              <w:rPr>
                <w:rFonts w:ascii="Arial" w:cs="Arial" w:eastAsia="Arial" w:hAnsi="Arial"/>
                <w:sz w:val="22"/>
                <w:szCs w:val="22"/>
                <w:color w:val="auto"/>
              </w:rPr>
              <w:t>$1,890,000,000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December 31, 2024</w:t>
            </w:r>
          </w:p>
        </w:tc>
        <w:tc>
          <w:tcPr>
            <w:tcW w:w="2280" w:type="dxa"/>
            <w:vAlign w:val="bottom"/>
          </w:tcPr>
          <w:p>
            <w:pPr>
              <w:ind w:left="260"/>
              <w:spacing w:after="0"/>
              <w:rPr>
                <w:sz w:val="20"/>
                <w:szCs w:val="20"/>
                <w:color w:val="auto"/>
              </w:rPr>
            </w:pPr>
            <w:r>
              <w:rPr>
                <w:rFonts w:ascii="Arial" w:cs="Arial" w:eastAsia="Arial" w:hAnsi="Arial"/>
                <w:sz w:val="22"/>
                <w:szCs w:val="22"/>
                <w:color w:val="auto"/>
              </w:rPr>
              <w:t>$2,020,000,000</w:t>
            </w:r>
          </w:p>
        </w:tc>
      </w:tr>
      <w:tr>
        <w:trPr>
          <w:trHeight w:val="270"/>
        </w:trPr>
        <w:tc>
          <w:tcPr>
            <w:tcW w:w="2760" w:type="dxa"/>
            <w:vAlign w:val="bottom"/>
          </w:tcPr>
          <w:p>
            <w:pPr>
              <w:spacing w:after="0"/>
              <w:rPr>
                <w:sz w:val="20"/>
                <w:szCs w:val="20"/>
                <w:color w:val="auto"/>
              </w:rPr>
            </w:pPr>
            <w:r>
              <w:rPr>
                <w:rFonts w:ascii="Arial" w:cs="Arial" w:eastAsia="Arial" w:hAnsi="Arial"/>
                <w:sz w:val="22"/>
                <w:szCs w:val="22"/>
                <w:color w:val="auto"/>
              </w:rPr>
              <w:t>March 31, 2025</w:t>
            </w:r>
          </w:p>
        </w:tc>
        <w:tc>
          <w:tcPr>
            <w:tcW w:w="2280" w:type="dxa"/>
            <w:vAlign w:val="bottom"/>
          </w:tcPr>
          <w:p>
            <w:pPr>
              <w:ind w:left="260"/>
              <w:spacing w:after="0"/>
              <w:rPr>
                <w:sz w:val="20"/>
                <w:szCs w:val="20"/>
                <w:color w:val="auto"/>
              </w:rPr>
            </w:pPr>
            <w:r>
              <w:rPr>
                <w:rFonts w:ascii="Arial" w:cs="Arial" w:eastAsia="Arial" w:hAnsi="Arial"/>
                <w:sz w:val="22"/>
                <w:szCs w:val="22"/>
                <w:color w:val="auto"/>
              </w:rPr>
              <w:t>$2,100,000,000</w:t>
            </w:r>
          </w:p>
        </w:tc>
      </w:t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June 30, 2025</w:t>
            </w:r>
          </w:p>
        </w:tc>
        <w:tc>
          <w:tcPr>
            <w:tcW w:w="2280" w:type="dxa"/>
            <w:vAlign w:val="bottom"/>
          </w:tcPr>
          <w:p>
            <w:pPr>
              <w:ind w:left="260"/>
              <w:spacing w:after="0"/>
              <w:rPr>
                <w:sz w:val="20"/>
                <w:szCs w:val="20"/>
                <w:color w:val="auto"/>
              </w:rPr>
            </w:pPr>
            <w:r>
              <w:rPr>
                <w:rFonts w:ascii="Arial" w:cs="Arial" w:eastAsia="Arial" w:hAnsi="Arial"/>
                <w:sz w:val="22"/>
                <w:szCs w:val="22"/>
                <w:color w:val="auto"/>
              </w:rPr>
              <w:t>$2,285,000,000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 and</w:t>
      </w:r>
    </w:p>
    <w:p>
      <w:pPr>
        <w:spacing w:after="0" w:line="179" w:lineRule="exact"/>
        <w:rPr>
          <w:sz w:val="20"/>
          <w:szCs w:val="20"/>
          <w:color w:val="auto"/>
        </w:rPr>
      </w:pPr>
    </w:p>
    <w:p>
      <w:pPr>
        <w:ind w:firstLine="8"/>
        <w:spacing w:after="0" w:line="247" w:lineRule="auto"/>
        <w:tabs>
          <w:tab w:leader="none" w:pos="33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from and after the Trigger Date, (x) permit the Consolidated Leverage Ratio to exceed 3.50:1.00 and (y) permit the Interest Coverage Ratio to be less than 3.00:1.00, in each case, as of the last day of each Measurement Period.</w:t>
      </w:r>
    </w:p>
    <w:p>
      <w:pPr>
        <w:spacing w:after="0" w:line="15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Swap Agreements</w:t>
      </w:r>
      <w:r>
        <w:rPr>
          <w:rFonts w:ascii="Arial" w:cs="Arial" w:eastAsia="Arial" w:hAnsi="Arial"/>
          <w:sz w:val="22"/>
          <w:szCs w:val="22"/>
          <w:color w:val="auto"/>
        </w:rPr>
        <w:t>. Neither the Borrower nor any other Guarantor will enter into any Swap Agreement for purely speculative purposes.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Permitted Activities of Parent</w:t>
      </w:r>
      <w:r>
        <w:rPr>
          <w:rFonts w:ascii="Arial" w:cs="Arial" w:eastAsia="Arial" w:hAnsi="Arial"/>
          <w:sz w:val="19"/>
          <w:szCs w:val="19"/>
          <w:color w:val="auto"/>
        </w:rPr>
        <w:t>. Parent shall not:</w:t>
      </w:r>
    </w:p>
    <w:p>
      <w:pPr>
        <w:spacing w:after="0" w:line="179" w:lineRule="exact"/>
        <w:rPr>
          <w:sz w:val="20"/>
          <w:szCs w:val="20"/>
          <w:color w:val="auto"/>
        </w:rPr>
      </w:pPr>
    </w:p>
    <w:p>
      <w:pPr>
        <w:jc w:val="both"/>
        <w:ind w:firstLine="656"/>
        <w:spacing w:after="0" w:line="216" w:lineRule="auto"/>
        <w:tabs>
          <w:tab w:leader="none" w:pos="118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incur any Indebtedness for borrowed money other than (i) Guarantees of Indebtedness or other obligations of the Borrower and/or any Subsidiary, which Indebtedness or other obligations are otherwise permitted hereunder, (ii) Indebtedness owed to the Borrower or any Subsidiary otherwise permitted hereunder and (iii) Parent Convertible Notes, subject to the Parent being in compliance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immediately after giving Pro Forma Effect to the issuance of any such Parent Convertible Notes;</w:t>
      </w:r>
    </w:p>
    <w:p>
      <w:pPr>
        <w:spacing w:after="0" w:line="157" w:lineRule="exact"/>
        <w:rPr>
          <w:rFonts w:ascii="Arial" w:cs="Arial" w:eastAsia="Arial" w:hAnsi="Arial"/>
          <w:sz w:val="22"/>
          <w:szCs w:val="22"/>
          <w:color w:val="auto"/>
        </w:rPr>
      </w:pPr>
    </w:p>
    <w:p>
      <w:pPr>
        <w:jc w:val="both"/>
        <w:ind w:firstLine="656"/>
        <w:spacing w:after="0" w:line="223" w:lineRule="auto"/>
        <w:tabs>
          <w:tab w:leader="none" w:pos="116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create or suffer to exist any Lien on any property or asset now owned or hereafter acquired by it other than (i) the Liens created under the Security Documents and (ii) Liens of the type permitted under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(other than in respect of Indebtedness for borrowed money not referred to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6.12</w:t>
      </w:r>
      <w:r>
        <w:rPr>
          <w:rFonts w:ascii="Arial" w:cs="Arial" w:eastAsia="Arial" w:hAnsi="Arial"/>
          <w:sz w:val="22"/>
          <w:szCs w:val="22"/>
          <w:color w:val="auto"/>
        </w:rPr>
        <w:t>); or</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4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engage in any material business activity or own any material assets other than (i) holding the Equity Interest of the Borrower, and, indirectly, any other subsidiary of the Borrower (and/or any joint venture of any thereof) or Indebtedness owing by, the Borrower, (ii) 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01" w:right="339" w:bottom="1440" w:gutter="0" w:footer="0" w:header="0"/>
        </w:sectPr>
      </w:pPr>
    </w:p>
    <w:bookmarkStart w:id="193" w:name="page194"/>
    <w:bookmarkEnd w:id="193"/>
    <w:p>
      <w:pPr>
        <w:jc w:val="both"/>
        <w:spacing w:after="0" w:line="239" w:lineRule="auto"/>
        <w:rPr>
          <w:sz w:val="20"/>
          <w:szCs w:val="20"/>
          <w:color w:val="auto"/>
        </w:rPr>
      </w:pPr>
      <w:r>
        <w:rPr>
          <w:rFonts w:ascii="Arial" w:cs="Arial" w:eastAsia="Arial" w:hAnsi="Arial"/>
          <w:sz w:val="19"/>
          <w:szCs w:val="19"/>
          <w:color w:val="auto"/>
        </w:rPr>
        <w:t xml:space="preserve">its obligations under the Loan Documents and other Indebtedness, Liens (including the granting of Liens) and Guarantees permitted hereunder; (iii) issuing its own Equity Interests (including, for the avoidance of doubt, the making of any dividend or distribution on account of, or any redemption, retirement, sinking fund or similar payment, purchase or other acquisition for value of, any shares of any class of Equity Interest permitted hereunder) and the maintenance and administration of equity subscriptions, stock option and stock ownership plans and activities incidental thereto; (iv) filing tax reports and paying Taxes, including tax distributions made pursuant to </w:t>
      </w:r>
      <w:r>
        <w:rPr>
          <w:rFonts w:ascii="Arial" w:cs="Arial" w:eastAsia="Arial" w:hAnsi="Arial"/>
          <w:sz w:val="19"/>
          <w:szCs w:val="19"/>
          <w:u w:val="single" w:color="auto"/>
          <w:color w:val="auto"/>
        </w:rPr>
        <w:t>Section 6.05(x)</w:t>
      </w:r>
      <w:r>
        <w:rPr>
          <w:rFonts w:ascii="Arial" w:cs="Arial" w:eastAsia="Arial" w:hAnsi="Arial"/>
          <w:sz w:val="19"/>
          <w:szCs w:val="19"/>
          <w:color w:val="auto"/>
        </w:rPr>
        <w:t xml:space="preserve"> and other customary obligations in the ordinary course (and contesting any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laws; (vii) effecting any public offering of its Equity Interests; (viii) holding</w:t>
      </w:r>
    </w:p>
    <w:p>
      <w:pPr>
        <w:spacing w:after="0" w:line="4" w:lineRule="exact"/>
        <w:rPr>
          <w:sz w:val="20"/>
          <w:szCs w:val="20"/>
          <w:color w:val="auto"/>
        </w:rPr>
      </w:pPr>
    </w:p>
    <w:p>
      <w:pPr>
        <w:jc w:val="both"/>
        <w:ind w:firstLine="8"/>
        <w:spacing w:after="0" w:line="239" w:lineRule="auto"/>
        <w:tabs>
          <w:tab w:leader="none" w:pos="37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cash, Cash Equivalents and other assets received in connection with permitted distributions or dividends received from, or permitted Investments or permitted Dispositions made by, any of its subsidiaries or permitted contributions to the capital of, or proceeds from the issuance of Equity Interest of, Parent pending the application thereof, or otherwise received and held so long as such other assets are not “operated” and (B) the proceeds of Indebtedness permitted by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(ix) providing indemnification for its officers, directors, members of management, employees and advisors or consultants and other ordinary course obligations; (x) participating in tax, accounting and other administrative matters; (xi) the performance of its obligations under any document, agreement and/or investment contemplated by the Transactions or otherwise not prohibited under this Agreement, including the preparation of financial statements and other reporting obligations required under this Agreement; (xii) complying with applicable laws (including with respect to the maintenance of its corporate existence and activities incidental thereto); (xiii) financing activities, including the receipt and payment of dividends and distributions and the making of certain other Restricted Payments, making contributions to the capital of its Subsidiaries and guaranteeing the obligations of the Borrower and the Borrower’s Subsidiaries to the extent permitted hereunder; (xiv) activities incidental to acquisitions permitted hereunder or similar investments consummated by the Borrower and/or any Subsidiaries, including the formation of acquisition vehicle entities and intercompany loans and/or investments incidental to such acquisitions permitted hereunder or similar investments; (xv) the maintenance of its legal existence (including the ability to incur and pay, as applicable, fees, costs and expenses and taxes related to such maintenance); (xvi) any transaction expressly permitted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6.12</w:t>
      </w:r>
      <w:r>
        <w:rPr>
          <w:rFonts w:ascii="Arial" w:cs="Arial" w:eastAsia="Arial" w:hAnsi="Arial"/>
          <w:sz w:val="19"/>
          <w:szCs w:val="19"/>
          <w:color w:val="auto"/>
        </w:rPr>
        <w:t>, (xvii) the obtainment of, and the payment of any fees and expenses for, management, consulting, investment banking and advisory services to the extent otherwise permitted under this Agreement, (xviii) entry into Permitted Bond Hedge Transactions and Permitted Warrant Transactions, (xix) participation and the making of payments under the Tax Receivable Agreement, and (xx) activities incidental or reasonably related to any of the foregoing; or</w:t>
      </w:r>
    </w:p>
    <w:p>
      <w:pPr>
        <w:spacing w:after="0" w:line="166" w:lineRule="exact"/>
        <w:rPr>
          <w:rFonts w:ascii="Arial" w:cs="Arial" w:eastAsia="Arial" w:hAnsi="Arial"/>
          <w:sz w:val="19"/>
          <w:szCs w:val="19"/>
          <w:color w:val="auto"/>
        </w:rPr>
      </w:pPr>
    </w:p>
    <w:p>
      <w:pPr>
        <w:jc w:val="both"/>
        <w:ind w:firstLine="656"/>
        <w:spacing w:after="0" w:line="244" w:lineRule="auto"/>
        <w:tabs>
          <w:tab w:leader="none" w:pos="1128"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consolidate or amalgamate with, or merge with or into, or convey, sell or otherwise transfer all or substantially all of its assets to, any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Default or Event of Default exists or would result therefrom, Parent may consolidate or amalgamate with, or merge with or into, any other Person (other than the Borrower and any of its Subsidiaries) so long as (i) Parent is the continuing or surviving Person or (ii) if the Person formed by or surviving any such consolidation, amalgamation or merger is not Parent, (x) (A) the successor Person expressly assumes all obligations of Parent under this Agreement and the other Loan Documents to which Parent is a party pursuant to a supplement hereto and/or thereto in a form reasonably satisfactory to the Administrative Agent and (B) the successor Person will be a Person organized or existing under the laws of the United States of America, any State of the United States or the District of Columbia or any territory thereto, and (y) the Administrative Agent shall have received all documentation and other information required by regulatory authorities with respect to the successor Person under applicable “know your customer” and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01" w:right="339" w:bottom="1440" w:gutter="0" w:footer="0" w:header="0"/>
        </w:sectPr>
      </w:pPr>
    </w:p>
    <w:bookmarkStart w:id="194" w:name="page195"/>
    <w:bookmarkEnd w:id="194"/>
    <w:p>
      <w:pPr>
        <w:spacing w:after="0" w:line="232" w:lineRule="auto"/>
        <w:rPr>
          <w:sz w:val="20"/>
          <w:szCs w:val="20"/>
          <w:color w:val="auto"/>
        </w:rPr>
      </w:pPr>
      <w:r>
        <w:rPr>
          <w:rFonts w:ascii="Arial" w:cs="Arial" w:eastAsia="Arial" w:hAnsi="Arial"/>
          <w:sz w:val="22"/>
          <w:szCs w:val="22"/>
          <w:color w:val="auto"/>
        </w:rPr>
        <w:t>money laundering rules and regulations, including without limitation the USA PATRIOT Act reasonably requested by the Lenders.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jc w:val="center"/>
        <w:spacing w:after="0"/>
        <w:rPr>
          <w:sz w:val="20"/>
          <w:szCs w:val="20"/>
          <w:color w:val="auto"/>
        </w:rPr>
      </w:pPr>
      <w:r>
        <w:rPr>
          <w:rFonts w:ascii="Arial" w:cs="Arial" w:eastAsia="Arial" w:hAnsi="Arial"/>
          <w:sz w:val="22"/>
          <w:szCs w:val="22"/>
          <w:b w:val="1"/>
          <w:bCs w:val="1"/>
          <w:color w:val="auto"/>
        </w:rPr>
        <w:t>EVENTS OF DEFAULT</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(each, an “</w:t>
      </w:r>
      <w:r>
        <w:rPr>
          <w:rFonts w:ascii="Arial" w:cs="Arial" w:eastAsia="Arial" w:hAnsi="Arial"/>
          <w:sz w:val="19"/>
          <w:szCs w:val="19"/>
          <w:b w:val="1"/>
          <w:bCs w:val="1"/>
          <w:color w:val="auto"/>
        </w:rPr>
        <w:t>Event of Default</w:t>
      </w:r>
      <w:r>
        <w:rPr>
          <w:rFonts w:ascii="Arial" w:cs="Arial" w:eastAsia="Arial" w:hAnsi="Arial"/>
          <w:sz w:val="19"/>
          <w:szCs w:val="19"/>
          <w:color w:val="auto"/>
        </w:rPr>
        <w:t>”) shall occur:</w:t>
      </w:r>
    </w:p>
    <w:p>
      <w:pPr>
        <w:spacing w:after="0" w:line="185" w:lineRule="exact"/>
        <w:rPr>
          <w:sz w:val="20"/>
          <w:szCs w:val="20"/>
          <w:color w:val="auto"/>
        </w:rPr>
      </w:pPr>
    </w:p>
    <w:p>
      <w:pPr>
        <w:jc w:val="both"/>
        <w:ind w:firstLine="656"/>
        <w:spacing w:after="0" w:line="223" w:lineRule="auto"/>
        <w:tabs>
          <w:tab w:leader="none" w:pos="121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3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Borrower shall fail to pay any interest on any Loan or any fee or any other amount (other than an amount referred to in clause (a) of this Article) payable under any of the Loan Documents, when and as the same shall become due and payable and in the Agreed Currency required hereunder, and such failure shall continue unremedied for a period of five Business Days;</w:t>
      </w:r>
    </w:p>
    <w:p>
      <w:pPr>
        <w:spacing w:after="0" w:line="160" w:lineRule="exact"/>
        <w:rPr>
          <w:rFonts w:ascii="Arial" w:cs="Arial" w:eastAsia="Arial" w:hAnsi="Arial"/>
          <w:sz w:val="22"/>
          <w:szCs w:val="22"/>
          <w:color w:val="auto"/>
        </w:rPr>
      </w:pPr>
    </w:p>
    <w:p>
      <w:pPr>
        <w:jc w:val="both"/>
        <w:ind w:firstLine="656"/>
        <w:spacing w:after="0" w:line="226" w:lineRule="auto"/>
        <w:tabs>
          <w:tab w:leader="none" w:pos="1119" w:val="left"/>
        </w:tabs>
        <w:numPr>
          <w:ilvl w:val="0"/>
          <w:numId w:val="161"/>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or on behalf of the Parent, the Borrower or any Loan Party in this Agreement or any other Loan Document or any amendment or modification hereof or thereof or waiver hereunder or thereunder, or in any report, certificate, financial statement or other document furnished pursuant to or in connection with this Agreement, any other Loan Document or any amendment or modification hereof or thereof or waiver hereunder or thereunder, shall prove to have been incorrect in any material respect when made or deemed made;</w:t>
      </w:r>
    </w:p>
    <w:p>
      <w:pPr>
        <w:spacing w:after="0" w:line="159" w:lineRule="exact"/>
        <w:rPr>
          <w:rFonts w:ascii="Arial" w:cs="Arial" w:eastAsia="Arial" w:hAnsi="Arial"/>
          <w:sz w:val="21"/>
          <w:szCs w:val="21"/>
          <w:color w:val="auto"/>
        </w:rPr>
      </w:pPr>
    </w:p>
    <w:p>
      <w:pPr>
        <w:jc w:val="both"/>
        <w:ind w:firstLine="656"/>
        <w:spacing w:after="0" w:line="223" w:lineRule="auto"/>
        <w:tabs>
          <w:tab w:leader="none" w:pos="121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the Parent or the Borrower, as applicable, shall fail to observe or perform any covenant, condition or agreement contained in </w:t>
      </w:r>
      <w:r>
        <w:rPr>
          <w:rFonts w:ascii="Arial" w:cs="Arial" w:eastAsia="Arial" w:hAnsi="Arial"/>
          <w:sz w:val="22"/>
          <w:szCs w:val="22"/>
          <w:u w:val="single" w:color="auto"/>
          <w:color w:val="auto"/>
        </w:rPr>
        <w:t>Section 5.02(a)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(solely with respect to the Parent’s or the Borrower’s existence),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or in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Parent or the Borrower, as applicable,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8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Parent, the Borrower or any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notice or cure period, if any;</w:t>
      </w:r>
    </w:p>
    <w:p>
      <w:pPr>
        <w:spacing w:after="0" w:line="160" w:lineRule="exact"/>
        <w:rPr>
          <w:rFonts w:ascii="Arial" w:cs="Arial" w:eastAsia="Arial" w:hAnsi="Arial"/>
          <w:sz w:val="22"/>
          <w:szCs w:val="22"/>
          <w:color w:val="auto"/>
        </w:rPr>
      </w:pPr>
    </w:p>
    <w:p>
      <w:pPr>
        <w:jc w:val="both"/>
        <w:ind w:firstLine="656"/>
        <w:spacing w:after="0" w:line="221" w:lineRule="auto"/>
        <w:tabs>
          <w:tab w:leader="none" w:pos="1131" w:val="left"/>
        </w:tabs>
        <w:numPr>
          <w:ilvl w:val="0"/>
          <w:numId w:val="161"/>
        </w:numPr>
        <w:rPr>
          <w:rFonts w:ascii="Arial" w:cs="Arial" w:eastAsia="Arial" w:hAnsi="Arial"/>
          <w:sz w:val="21"/>
          <w:szCs w:val="21"/>
          <w:color w:val="auto"/>
        </w:rPr>
      </w:pPr>
      <w:r>
        <w:rPr>
          <w:rFonts w:ascii="Arial" w:cs="Arial" w:eastAsia="Arial" w:hAnsi="Arial"/>
          <w:sz w:val="21"/>
          <w:szCs w:val="21"/>
          <w:color w:val="auto"/>
        </w:rPr>
        <w:t xml:space="preserve">any event or condition occurs that results in any Material Indebtedness becoming due prior to its scheduled maturity or that enables or permits (with or without the giving of notice, the lapse of time or both, but with all applicable grace periods in respect of such event or condition under the documentation representing such Material Indebtedness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(g) shall not apply to (w) any requirement to, or any offer, to repurchase, prepay or redeem Indebtedness of a Person acquired in an acquisition permitted hereunder, to the extent such offer is required as a result of, or in connection with, such acquisition, so long as such requirement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01" w:right="339" w:bottom="1440" w:gutter="0" w:footer="0" w:header="0"/>
        </w:sectPr>
      </w:pPr>
    </w:p>
    <w:bookmarkStart w:id="195" w:name="page196"/>
    <w:bookmarkEnd w:id="195"/>
    <w:p>
      <w:pPr>
        <w:jc w:val="both"/>
        <w:spacing w:after="0" w:line="246" w:lineRule="auto"/>
        <w:rPr>
          <w:sz w:val="20"/>
          <w:szCs w:val="20"/>
          <w:color w:val="auto"/>
        </w:rPr>
      </w:pPr>
      <w:r>
        <w:rPr>
          <w:rFonts w:ascii="Arial" w:cs="Arial" w:eastAsia="Arial" w:hAnsi="Arial"/>
          <w:sz w:val="19"/>
          <w:szCs w:val="19"/>
          <w:color w:val="auto"/>
        </w:rPr>
        <w:t>satisfied at the time of such acquisition, (x) secured Indebtedness that becomes due as a result of the voluntary sale or transfer of the property or assets securing such Indebtedness, (y) any redemption, repurchase, conversion or settlement with respect to any convertible debt instrument including the Parent Convertible Notes (including any termination of any related Swap Agreement) pursuant to its terms unless such redemption, repurchase, conversion or settlement results from a default thereunder or an event of the type that constitutes an Event of Default or (z) an early payment requirement, unwinding or termination with respect to any Swap Agreement except (i) an early payment, unwinding or termination that results from a default or non-compliance thereunder by the Parent, the Borrower or any Subsidiary, or another event of the type that would constitute an Event of Default or (ii) an early termination of such Swap Agreement by the counterparty thereto;</w:t>
      </w:r>
    </w:p>
    <w:p>
      <w:pPr>
        <w:spacing w:after="0" w:line="152" w:lineRule="exact"/>
        <w:rPr>
          <w:sz w:val="20"/>
          <w:szCs w:val="20"/>
          <w:color w:val="auto"/>
        </w:rPr>
      </w:pPr>
    </w:p>
    <w:p>
      <w:pPr>
        <w:jc w:val="both"/>
        <w:ind w:firstLine="656"/>
        <w:spacing w:after="0" w:line="252" w:lineRule="auto"/>
        <w:tabs>
          <w:tab w:leader="none" w:pos="12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the Parent, the Borrower or any Subsidiary or of a substantial part of its assets, under any Debtor Relief Law or (ii) the appointment of a receiver, trustee, custodian, sequestrator, conservator or similar official for the Parent, the Borrower or any Subsidiary or for a substantial part of its assets, and, in any such case, such proceeding or petition shall continue undismissed for 60 days or an order or decree approving or ordering any of the foregoing shall be entered;</w:t>
      </w:r>
    </w:p>
    <w:p>
      <w:pPr>
        <w:spacing w:after="0" w:line="148" w:lineRule="exact"/>
        <w:rPr>
          <w:rFonts w:ascii="Arial" w:cs="Arial" w:eastAsia="Arial" w:hAnsi="Arial"/>
          <w:sz w:val="19"/>
          <w:szCs w:val="19"/>
          <w:color w:val="auto"/>
        </w:rPr>
      </w:pPr>
    </w:p>
    <w:p>
      <w:pPr>
        <w:jc w:val="both"/>
        <w:ind w:firstLine="656"/>
        <w:spacing w:after="0" w:line="241" w:lineRule="auto"/>
        <w:tabs>
          <w:tab w:leader="none" w:pos="1201"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except as may otherwise be permitted under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the Parent, the Borrower or any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w:t>
      </w:r>
      <w:r>
        <w:rPr>
          <w:rFonts w:ascii="Arial" w:cs="Arial" w:eastAsia="Arial" w:hAnsi="Arial"/>
          <w:sz w:val="19"/>
          <w:szCs w:val="19"/>
          <w:u w:val="single" w:color="auto"/>
          <w:color w:val="auto"/>
        </w:rPr>
        <w:t>Section 7.01</w:t>
      </w:r>
      <w:r>
        <w:rPr>
          <w:rFonts w:ascii="Arial" w:cs="Arial" w:eastAsia="Arial" w:hAnsi="Arial"/>
          <w:sz w:val="19"/>
          <w:szCs w:val="19"/>
          <w:color w:val="auto"/>
        </w:rPr>
        <w:t>, (iii) apply for or consent to the appointment of a receiver, trustee, custodian, sequestrator, conservator or similar official for the Parent, the Borrower or any Subsidiary or for a substantial part of its assets,</w:t>
      </w:r>
    </w:p>
    <w:p>
      <w:pPr>
        <w:spacing w:after="0" w:line="1" w:lineRule="exact"/>
        <w:rPr>
          <w:rFonts w:ascii="Arial" w:cs="Arial" w:eastAsia="Arial" w:hAnsi="Arial"/>
          <w:sz w:val="19"/>
          <w:szCs w:val="19"/>
          <w:color w:val="auto"/>
        </w:rPr>
      </w:pPr>
    </w:p>
    <w:p>
      <w:pPr>
        <w:ind w:firstLine="8"/>
        <w:spacing w:after="0" w:line="234" w:lineRule="auto"/>
        <w:tabs>
          <w:tab w:leader="none" w:pos="39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file an answer admitting the material allegations of a petition filed against it in any such proceeding, (v) make a general assignment for the benefit of creditors or (vi) take any action for the purpose of effecting any of the foregoing;</w:t>
      </w:r>
    </w:p>
    <w:p>
      <w:pPr>
        <w:spacing w:after="0" w:line="159" w:lineRule="exact"/>
        <w:rPr>
          <w:rFonts w:ascii="Arial" w:cs="Arial" w:eastAsia="Arial" w:hAnsi="Arial"/>
          <w:sz w:val="21"/>
          <w:szCs w:val="21"/>
          <w:color w:val="auto"/>
        </w:rPr>
      </w:pPr>
    </w:p>
    <w:p>
      <w:pPr>
        <w:ind w:firstLine="656"/>
        <w:spacing w:after="0" w:line="232" w:lineRule="auto"/>
        <w:tabs>
          <w:tab w:leader="none" w:pos="1093"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Parent, the Borrower or any Subsidiary shall become unable and admit in writing its inability or fail generally to pay its debts as they become due;</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23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one or more judgments for the payment of money in excess of $15,000,000 in the aggregate shall be rendered against the Parent, the Borrower, any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any action shall be legally taken by a judgment creditor to attach or levy upon any assets of the Parent, the Borrower or any Subsidiary to enforce any such judgment and such action shall not be stayed;</w:t>
      </w:r>
    </w:p>
    <w:p>
      <w:pPr>
        <w:spacing w:after="0" w:line="158" w:lineRule="exact"/>
        <w:rPr>
          <w:rFonts w:ascii="Arial" w:cs="Arial" w:eastAsia="Arial" w:hAnsi="Arial"/>
          <w:sz w:val="22"/>
          <w:szCs w:val="22"/>
          <w:color w:val="auto"/>
        </w:rPr>
      </w:pPr>
    </w:p>
    <w:p>
      <w:pPr>
        <w:ind w:firstLine="656"/>
        <w:spacing w:after="0" w:line="232" w:lineRule="auto"/>
        <w:tabs>
          <w:tab w:leader="none" w:pos="1133" w:val="left"/>
        </w:tabs>
        <w:numPr>
          <w:ilvl w:val="1"/>
          <w:numId w:val="163"/>
        </w:numPr>
        <w:rPr>
          <w:rFonts w:ascii="Arial" w:cs="Arial" w:eastAsia="Arial" w:hAnsi="Arial"/>
          <w:sz w:val="22"/>
          <w:szCs w:val="22"/>
          <w:color w:val="auto"/>
        </w:rPr>
      </w:pPr>
      <w:r>
        <w:rPr>
          <w:rFonts w:ascii="Arial" w:cs="Arial" w:eastAsia="Arial" w:hAnsi="Arial"/>
          <w:sz w:val="22"/>
          <w:szCs w:val="22"/>
          <w:color w:val="auto"/>
        </w:rPr>
        <w:t>one or more ERISA Events shall have occurred that would reasonably be expected to result, individually or in the aggregate, in a Material Adverse Effect;</w:t>
      </w:r>
    </w:p>
    <w:p>
      <w:pPr>
        <w:spacing w:after="0" w:line="158" w:lineRule="exact"/>
        <w:rPr>
          <w:rFonts w:ascii="Arial" w:cs="Arial" w:eastAsia="Arial" w:hAnsi="Arial"/>
          <w:sz w:val="22"/>
          <w:szCs w:val="22"/>
          <w:color w:val="auto"/>
        </w:rPr>
      </w:pPr>
    </w:p>
    <w:p>
      <w:pPr>
        <w:ind w:left="1180" w:hanging="524"/>
        <w:spacing w:after="0"/>
        <w:tabs>
          <w:tab w:leader="none" w:pos="1180" w:val="left"/>
        </w:tabs>
        <w:numPr>
          <w:ilvl w:val="1"/>
          <w:numId w:val="163"/>
        </w:numPr>
        <w:rPr>
          <w:rFonts w:ascii="Arial" w:cs="Arial" w:eastAsia="Arial" w:hAnsi="Arial"/>
          <w:sz w:val="22"/>
          <w:szCs w:val="22"/>
          <w:color w:val="auto"/>
        </w:rPr>
      </w:pPr>
      <w:r>
        <w:rPr>
          <w:rFonts w:ascii="Arial" w:cs="Arial" w:eastAsia="Arial" w:hAnsi="Arial"/>
          <w:sz w:val="22"/>
          <w:szCs w:val="22"/>
          <w:color w:val="auto"/>
        </w:rPr>
        <w:t>a Change in Control shall occur; or</w:t>
      </w:r>
    </w:p>
    <w:p>
      <w:pPr>
        <w:spacing w:after="0" w:line="179" w:lineRule="exact"/>
        <w:rPr>
          <w:rFonts w:ascii="Arial" w:cs="Arial" w:eastAsia="Arial" w:hAnsi="Arial"/>
          <w:sz w:val="22"/>
          <w:szCs w:val="22"/>
          <w:color w:val="auto"/>
        </w:rPr>
      </w:pPr>
    </w:p>
    <w:p>
      <w:pPr>
        <w:jc w:val="both"/>
        <w:ind w:firstLine="656"/>
        <w:spacing w:after="0" w:line="216" w:lineRule="auto"/>
        <w:tabs>
          <w:tab w:leader="none" w:pos="1275" w:val="left"/>
        </w:tabs>
        <w:numPr>
          <w:ilvl w:val="1"/>
          <w:numId w:val="163"/>
        </w:numPr>
        <w:rPr>
          <w:rFonts w:ascii="Arial" w:cs="Arial" w:eastAsia="Arial" w:hAnsi="Arial"/>
          <w:sz w:val="22"/>
          <w:szCs w:val="22"/>
          <w:color w:val="auto"/>
        </w:rPr>
      </w:pPr>
      <w:r>
        <w:rPr>
          <w:rFonts w:ascii="Arial" w:cs="Arial" w:eastAsia="Arial" w:hAnsi="Arial"/>
          <w:sz w:val="22"/>
          <w:szCs w:val="22"/>
          <w:color w:val="auto"/>
        </w:rPr>
        <w:t xml:space="preserve">any Loan Document, at any time after its execution and delivery and for any reason other than as expressly permitted hereunder or thereunder or satisfaction in full of all the obligations hereunder or thereunder, ceases to be in full force and effect thereto; or any Loan Party contests in any manner the validity or enforceability of any Loan Document; or any Lien created by any of the Security Documents shall cease to be enforceable on a material portion of the Collateral and of the same effect and priority (subject to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01" w:right="339" w:bottom="1440" w:gutter="0" w:footer="0" w:header="0"/>
        </w:sectPr>
      </w:pPr>
    </w:p>
    <w:bookmarkStart w:id="196" w:name="page197"/>
    <w:bookmarkEnd w:id="196"/>
    <w:p>
      <w:pPr>
        <w:jc w:val="both"/>
        <w:spacing w:after="0" w:line="241" w:lineRule="auto"/>
        <w:rPr>
          <w:sz w:val="20"/>
          <w:szCs w:val="20"/>
          <w:color w:val="auto"/>
        </w:rPr>
      </w:pPr>
      <w:r>
        <w:rPr>
          <w:rFonts w:ascii="Arial" w:cs="Arial" w:eastAsia="Arial" w:hAnsi="Arial"/>
          <w:sz w:val="19"/>
          <w:szCs w:val="19"/>
          <w:color w:val="auto"/>
        </w:rPr>
        <w:t xml:space="preserve">be created thereby for any reason other than as expressly permitted hereunder or satisfaction in full of all the Obligations; then, and in every such event (other than an event with respect to the Parent or the Borrower described in clause (h) or (i) of this Article and subject to </w:t>
      </w:r>
      <w:r>
        <w:rPr>
          <w:rFonts w:ascii="Arial" w:cs="Arial" w:eastAsia="Arial" w:hAnsi="Arial"/>
          <w:sz w:val="19"/>
          <w:szCs w:val="19"/>
          <w:u w:val="single" w:color="auto"/>
          <w:color w:val="auto"/>
        </w:rPr>
        <w:t>Section 7.02</w:t>
      </w:r>
      <w:r>
        <w:rPr>
          <w:rFonts w:ascii="Arial" w:cs="Arial" w:eastAsia="Arial" w:hAnsi="Arial"/>
          <w:sz w:val="19"/>
          <w:szCs w:val="19"/>
          <w:color w:val="auto"/>
        </w:rPr>
        <w:t>),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Cash Collateralize any outstanding Letters of Credit and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Parent or the Borrower described in clause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6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Right to Cure</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tabs>
          <w:tab w:leader="none" w:pos="120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but subject to </w:t>
      </w:r>
      <w:r>
        <w:rPr>
          <w:rFonts w:ascii="Arial" w:cs="Arial" w:eastAsia="Arial" w:hAnsi="Arial"/>
          <w:sz w:val="19"/>
          <w:szCs w:val="19"/>
          <w:u w:val="single" w:color="auto"/>
          <w:color w:val="auto"/>
        </w:rPr>
        <w:t>Sections 7.02(b), 7.02(c)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7.02(d)</w:t>
      </w:r>
      <w:r>
        <w:rPr>
          <w:rFonts w:ascii="Arial" w:cs="Arial" w:eastAsia="Arial" w:hAnsi="Arial"/>
          <w:sz w:val="19"/>
          <w:szCs w:val="19"/>
          <w:color w:val="auto"/>
        </w:rPr>
        <w:t xml:space="preserve">, for the purpose of determining whether an Event of Default resulting from a failure to comply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as of the last day of any fiscal quarter has occurred, the Borrower may on one or more occasions, during the period from the commencement of the relevant fiscal quarter through the Cure Expiration Date (as defined below), designate any portion of the net cash proceeds from a sale or issuance of Equity Interests of Parent or the Borrower or of any cash contribution to the equity capital of Parent (which, in turn, will be contributed in cash to the common equity capital of the Borrower) or the Borrower (the “</w:t>
      </w:r>
      <w:r>
        <w:rPr>
          <w:rFonts w:ascii="Arial" w:cs="Arial" w:eastAsia="Arial" w:hAnsi="Arial"/>
          <w:sz w:val="19"/>
          <w:szCs w:val="19"/>
          <w:b w:val="1"/>
          <w:bCs w:val="1"/>
          <w:color w:val="auto"/>
        </w:rPr>
        <w:t>Cure Right</w:t>
      </w:r>
      <w:r>
        <w:rPr>
          <w:rFonts w:ascii="Arial" w:cs="Arial" w:eastAsia="Arial" w:hAnsi="Arial"/>
          <w:sz w:val="19"/>
          <w:szCs w:val="19"/>
          <w:color w:val="auto"/>
        </w:rPr>
        <w:t>”), and upon the receipt by the Borrower of such cash (the “</w:t>
      </w:r>
      <w:r>
        <w:rPr>
          <w:rFonts w:ascii="Arial" w:cs="Arial" w:eastAsia="Arial" w:hAnsi="Arial"/>
          <w:sz w:val="19"/>
          <w:szCs w:val="19"/>
          <w:b w:val="1"/>
          <w:bCs w:val="1"/>
          <w:color w:val="auto"/>
        </w:rPr>
        <w:t>Cure Amount</w:t>
      </w:r>
      <w:r>
        <w:rPr>
          <w:rFonts w:ascii="Arial" w:cs="Arial" w:eastAsia="Arial" w:hAnsi="Arial"/>
          <w:sz w:val="19"/>
          <w:szCs w:val="19"/>
          <w:color w:val="auto"/>
        </w:rPr>
        <w:t xml:space="preserve">”), pursuant to the exercise by the Borrower of such Cure Right, as an increase to Consolidated EBITDA or Total Revenue, as applicable, for the applicable fiscal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amounts to be designated are actually received by the Borrower on or prior to the fifteenth Business Day after the date on which a certificate is or is required to be delivered pursuant to </w:t>
      </w:r>
      <w:r>
        <w:rPr>
          <w:rFonts w:ascii="Arial" w:cs="Arial" w:eastAsia="Arial" w:hAnsi="Arial"/>
          <w:sz w:val="19"/>
          <w:szCs w:val="19"/>
          <w:u w:val="single" w:color="auto"/>
          <w:color w:val="auto"/>
        </w:rPr>
        <w:t>Section 5.01(c)</w:t>
      </w:r>
      <w:r>
        <w:rPr>
          <w:rFonts w:ascii="Arial" w:cs="Arial" w:eastAsia="Arial" w:hAnsi="Arial"/>
          <w:sz w:val="19"/>
          <w:szCs w:val="19"/>
          <w:color w:val="auto"/>
        </w:rPr>
        <w:t xml:space="preserve"> with respect to such applicable fiscal quarter (the “</w:t>
      </w:r>
      <w:r>
        <w:rPr>
          <w:rFonts w:ascii="Arial" w:cs="Arial" w:eastAsia="Arial" w:hAnsi="Arial"/>
          <w:sz w:val="19"/>
          <w:szCs w:val="19"/>
          <w:b w:val="1"/>
          <w:bCs w:val="1"/>
          <w:color w:val="auto"/>
        </w:rPr>
        <w:t>Cure Expiration Date</w:t>
      </w:r>
      <w:r>
        <w:rPr>
          <w:rFonts w:ascii="Arial" w:cs="Arial" w:eastAsia="Arial" w:hAnsi="Arial"/>
          <w:sz w:val="19"/>
          <w:szCs w:val="19"/>
          <w:color w:val="auto"/>
        </w:rPr>
        <w:t xml:space="preserve">”), (ii) such amounts to be designated do not exceed the minimum aggregate amount necessary to cure any Event of Default resulting from a failure to comply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as of such date and (iii) the Borrower shall have provided written notice to the Administrative Agent on the date such amounts are designated as a “Cure Amount” (it being understood that to the extent such notice is provided in advance of delivery of a certificate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5.01(c)</w:t>
      </w:r>
      <w:r>
        <w:rPr>
          <w:rFonts w:ascii="Arial" w:cs="Arial" w:eastAsia="Arial" w:hAnsi="Arial"/>
          <w:sz w:val="19"/>
          <w:szCs w:val="19"/>
          <w:color w:val="auto"/>
        </w:rPr>
        <w:t xml:space="preserve"> for the applicable period, the amount of such net cash proceeds that is designated as the Cure Amount may be lower than the amount specified in such notice to the extent that the amount actually necessary to cure any Event of Default resulting from a failure to comply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is less than the full amount of such originally designated amount). The Cure Amount used to increase Consolidated EBITDA or Total Revenue, as applicable, for the applicable fiscal quarter shall be used and included when calculating Consolidated EBITDA or Total Revenue, as applicable, for each period that includes such fiscal quarter. The parties hereby acknowledge that the Cure Amount (</w:t>
      </w:r>
      <w:r>
        <w:rPr>
          <w:rFonts w:ascii="Arial" w:cs="Arial" w:eastAsia="Arial" w:hAnsi="Arial"/>
          <w:sz w:val="19"/>
          <w:szCs w:val="19"/>
          <w:u w:val="single" w:color="auto"/>
          <w:color w:val="auto"/>
        </w:rPr>
        <w:t>1</w:t>
      </w:r>
      <w:r>
        <w:rPr>
          <w:rFonts w:ascii="Arial" w:cs="Arial" w:eastAsia="Arial" w:hAnsi="Arial"/>
          <w:sz w:val="19"/>
          <w:szCs w:val="19"/>
          <w:color w:val="auto"/>
        </w:rPr>
        <w:t xml:space="preserve">) may not be relied on for purposes of calculating Consolidated EBITDA or Total Revenue, as applicable, other than as applicable to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shall not be included in Consolidated EBITDA or Total Revenue, as applicable, for any other purposes) and (</w:t>
      </w:r>
      <w:r>
        <w:rPr>
          <w:rFonts w:ascii="Arial" w:cs="Arial" w:eastAsia="Arial" w:hAnsi="Arial"/>
          <w:sz w:val="19"/>
          <w:szCs w:val="19"/>
          <w:u w:val="single" w:color="auto"/>
          <w:color w:val="auto"/>
        </w:rPr>
        <w:t>2</w:t>
      </w:r>
      <w:r>
        <w:rPr>
          <w:rFonts w:ascii="Arial" w:cs="Arial" w:eastAsia="Arial" w:hAnsi="Arial"/>
          <w:sz w:val="19"/>
          <w:szCs w:val="19"/>
          <w:color w:val="auto"/>
        </w:rPr>
        <w:t xml:space="preserve">) shall not result in any adjustment to any amounts (including the amount of Indebtedness) or increase in cash with respect to the fiscal quarter with respect to which such Cure Amount was made. Notwithstanding anything to the contrary contained in </w:t>
      </w:r>
      <w:r>
        <w:rPr>
          <w:rFonts w:ascii="Arial" w:cs="Arial" w:eastAsia="Arial" w:hAnsi="Arial"/>
          <w:sz w:val="19"/>
          <w:szCs w:val="19"/>
          <w:u w:val="single" w:color="auto"/>
          <w:color w:val="auto"/>
        </w:rPr>
        <w:t>Section 7.01</w:t>
      </w:r>
      <w:r>
        <w:rPr>
          <w:rFonts w:ascii="Arial" w:cs="Arial" w:eastAsia="Arial" w:hAnsi="Arial"/>
          <w:sz w:val="19"/>
          <w:szCs w:val="19"/>
          <w:color w:val="auto"/>
        </w:rPr>
        <w:t>, (</w:t>
      </w:r>
      <w:r>
        <w:rPr>
          <w:rFonts w:ascii="Arial" w:cs="Arial" w:eastAsia="Arial" w:hAnsi="Arial"/>
          <w:sz w:val="19"/>
          <w:szCs w:val="19"/>
          <w:u w:val="single" w:color="auto"/>
          <w:color w:val="auto"/>
        </w:rPr>
        <w:t>A</w:t>
      </w:r>
      <w:r>
        <w:rPr>
          <w:rFonts w:ascii="Arial" w:cs="Arial" w:eastAsia="Arial" w:hAnsi="Arial"/>
          <w:sz w:val="19"/>
          <w:szCs w:val="19"/>
          <w:color w:val="auto"/>
        </w:rPr>
        <w:t xml:space="preserve">) upon designation of the Cure Amount by the Borrower, to the extent applicable,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01" w:right="339" w:bottom="1440" w:gutter="0" w:footer="0" w:header="0"/>
        </w:sectPr>
      </w:pPr>
    </w:p>
    <w:bookmarkStart w:id="197" w:name="page198"/>
    <w:bookmarkEnd w:id="197"/>
    <w:p>
      <w:pPr>
        <w:jc w:val="both"/>
        <w:spacing w:after="0" w:line="244" w:lineRule="auto"/>
        <w:rPr>
          <w:sz w:val="20"/>
          <w:szCs w:val="20"/>
          <w:color w:val="auto"/>
        </w:rPr>
      </w:pPr>
      <w:r>
        <w:rPr>
          <w:rFonts w:ascii="Arial" w:cs="Arial" w:eastAsia="Arial" w:hAnsi="Arial"/>
          <w:sz w:val="19"/>
          <w:szCs w:val="19"/>
          <w:color w:val="auto"/>
        </w:rPr>
        <w:t xml:space="preserve">satisfied and complied with as of the end of the relevant fiscal quarter with the same effect as though there had been no failure to comply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any Event of Default resulting from a failure to comply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any other Default as a result thereof) shall be deemed not to have occurred for purposes of the Loan Documents,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neither the Administrative Agent nor any Lender may exercise any rights or remedies under this Agreement or any other Loan Document on the basis of any actual or purported Event of Default resulting from a failure to comply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any other Default as a result thereof) with respect to the applicable period until and unless the Cure Expiration Date has occurred without the Cure Amount having been received by the Borrower in at least the amount required to cure the applicable Event of Default, in which case such Event of Default shall be reinstated as though the Borrower had not designated such Cure Amount. For the avoidance of doubt, no portion of any Cure Amount may be used to make a Restricted Payment.</w:t>
      </w:r>
    </w:p>
    <w:p>
      <w:pPr>
        <w:spacing w:after="0" w:line="161" w:lineRule="exact"/>
        <w:rPr>
          <w:sz w:val="20"/>
          <w:szCs w:val="20"/>
          <w:color w:val="auto"/>
        </w:rPr>
      </w:pPr>
    </w:p>
    <w:p>
      <w:pPr>
        <w:ind w:firstLine="656"/>
        <w:spacing w:after="0" w:line="232" w:lineRule="auto"/>
        <w:tabs>
          <w:tab w:leader="none" w:pos="113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In each period of four consecutive fiscal quarters there shall be at least two fiscal quarters in which no cure set forth in </w:t>
      </w:r>
      <w:r>
        <w:rPr>
          <w:rFonts w:ascii="Arial" w:cs="Arial" w:eastAsia="Arial" w:hAnsi="Arial"/>
          <w:sz w:val="22"/>
          <w:szCs w:val="22"/>
          <w:u w:val="single" w:color="auto"/>
          <w:color w:val="auto"/>
        </w:rPr>
        <w:t>Section 7.02(a)</w:t>
      </w:r>
      <w:r>
        <w:rPr>
          <w:rFonts w:ascii="Arial" w:cs="Arial" w:eastAsia="Arial" w:hAnsi="Arial"/>
          <w:sz w:val="22"/>
          <w:szCs w:val="22"/>
          <w:color w:val="auto"/>
        </w:rPr>
        <w:t xml:space="preserve"> is made.</w:t>
      </w:r>
    </w:p>
    <w:p>
      <w:pPr>
        <w:spacing w:after="0" w:line="158" w:lineRule="exact"/>
        <w:rPr>
          <w:rFonts w:ascii="Arial" w:cs="Arial" w:eastAsia="Arial" w:hAnsi="Arial"/>
          <w:sz w:val="22"/>
          <w:szCs w:val="22"/>
          <w:color w:val="auto"/>
        </w:rPr>
      </w:pPr>
    </w:p>
    <w:p>
      <w:pPr>
        <w:ind w:firstLine="656"/>
        <w:spacing w:after="0" w:line="232" w:lineRule="auto"/>
        <w:tabs>
          <w:tab w:leader="none" w:pos="110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The cure rights set forth in </w:t>
      </w:r>
      <w:r>
        <w:rPr>
          <w:rFonts w:ascii="Arial" w:cs="Arial" w:eastAsia="Arial" w:hAnsi="Arial"/>
          <w:sz w:val="22"/>
          <w:szCs w:val="22"/>
          <w:u w:val="single" w:color="auto"/>
          <w:color w:val="auto"/>
        </w:rPr>
        <w:t>Section 7.02(a)</w:t>
      </w:r>
      <w:r>
        <w:rPr>
          <w:rFonts w:ascii="Arial" w:cs="Arial" w:eastAsia="Arial" w:hAnsi="Arial"/>
          <w:sz w:val="22"/>
          <w:szCs w:val="22"/>
          <w:color w:val="auto"/>
        </w:rPr>
        <w:t xml:space="preserve"> may not be exercised with respect to more than four fiscal quarters during the term of this Agreement.</w:t>
      </w:r>
    </w:p>
    <w:p>
      <w:pPr>
        <w:spacing w:after="0" w:line="158" w:lineRule="exact"/>
        <w:rPr>
          <w:rFonts w:ascii="Arial" w:cs="Arial" w:eastAsia="Arial" w:hAnsi="Arial"/>
          <w:sz w:val="22"/>
          <w:szCs w:val="22"/>
          <w:color w:val="auto"/>
        </w:rPr>
      </w:pPr>
    </w:p>
    <w:p>
      <w:pPr>
        <w:jc w:val="both"/>
        <w:ind w:firstLine="656"/>
        <w:spacing w:after="0" w:line="216" w:lineRule="auto"/>
        <w:tabs>
          <w:tab w:leader="none" w:pos="116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Notwithstanding anything herein to the contrary, upon the designation of any Cure Amount until the receipt by the Borrower thereof in an amount sufficient to cure the relevant Event of Default, Borrower shall not be permitted to request (and none of the Administrative Agent, the Lenders or the Issuing Banks shall be obligated to extend any Commitments or issue any Letters of Credit, as applicable) any Commitments (including any issuance or extension (including automatic renewals) of any Letter of Credit).</w:t>
      </w:r>
    </w:p>
    <w:p>
      <w:pPr>
        <w:spacing w:after="0" w:line="157" w:lineRule="exact"/>
        <w:rPr>
          <w:rFonts w:ascii="Arial" w:cs="Arial" w:eastAsia="Arial" w:hAnsi="Arial"/>
          <w:sz w:val="22"/>
          <w:szCs w:val="22"/>
          <w:color w:val="auto"/>
        </w:rPr>
      </w:pPr>
    </w:p>
    <w:p>
      <w:pPr>
        <w:jc w:val="both"/>
        <w:ind w:firstLine="656"/>
        <w:spacing w:after="0" w:line="222" w:lineRule="auto"/>
        <w:tabs>
          <w:tab w:leader="none" w:pos="1144"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To the extent a fiscal quarter in respect of which a Cure Amount for an Event of Default resulting from a failure to comply with </w:t>
      </w:r>
      <w:r>
        <w:rPr>
          <w:rFonts w:ascii="Arial" w:cs="Arial" w:eastAsia="Arial" w:hAnsi="Arial"/>
          <w:sz w:val="21"/>
          <w:szCs w:val="21"/>
          <w:u w:val="single" w:color="auto"/>
          <w:color w:val="auto"/>
        </w:rPr>
        <w:t>Section 6.10</w:t>
      </w:r>
      <w:r>
        <w:rPr>
          <w:rFonts w:ascii="Arial" w:cs="Arial" w:eastAsia="Arial" w:hAnsi="Arial"/>
          <w:sz w:val="21"/>
          <w:szCs w:val="21"/>
          <w:color w:val="auto"/>
        </w:rPr>
        <w:t xml:space="preserve"> is received (such fiscal quarter a “</w:t>
      </w:r>
      <w:r>
        <w:rPr>
          <w:rFonts w:ascii="Arial" w:cs="Arial" w:eastAsia="Arial" w:hAnsi="Arial"/>
          <w:sz w:val="21"/>
          <w:szCs w:val="21"/>
          <w:b w:val="1"/>
          <w:bCs w:val="1"/>
          <w:color w:val="auto"/>
        </w:rPr>
        <w:t>Cure Quarter</w:t>
      </w:r>
      <w:r>
        <w:rPr>
          <w:rFonts w:ascii="Arial" w:cs="Arial" w:eastAsia="Arial" w:hAnsi="Arial"/>
          <w:sz w:val="21"/>
          <w:szCs w:val="21"/>
          <w:color w:val="auto"/>
        </w:rPr>
        <w:t xml:space="preserve">”) is included in the calculation of Consolidated EBITDA or Total Revenue for a subsequent fiscal period, the Consolidated EBITDA or Total Revenue attributable solely to such Cure Quarter shall be deemed permanently increased by such amount for purposes of calculating Consolidated EBITDA or Total Revenue for a subsequent fiscal period including such Cure Quarter;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Cure Amount shall be included in the calculation of Consolidated EBITDA or Total Revenue solely for the purpose of determining compliance with the financial covenant contained in </w:t>
      </w:r>
      <w:r>
        <w:rPr>
          <w:rFonts w:ascii="Arial" w:cs="Arial" w:eastAsia="Arial" w:hAnsi="Arial"/>
          <w:sz w:val="21"/>
          <w:szCs w:val="21"/>
          <w:u w:val="single" w:color="auto"/>
          <w:color w:val="auto"/>
        </w:rPr>
        <w:t>Section 6.10</w:t>
      </w:r>
      <w:r>
        <w:rPr>
          <w:rFonts w:ascii="Arial" w:cs="Arial" w:eastAsia="Arial" w:hAnsi="Arial"/>
          <w:sz w:val="21"/>
          <w:szCs w:val="21"/>
          <w:color w:val="auto"/>
        </w:rPr>
        <w:t xml:space="preserve"> and not for any other purposes.</w:t>
      </w:r>
    </w:p>
    <w:p>
      <w:pPr>
        <w:spacing w:after="0" w:line="16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Application of Proceeds</w:t>
      </w:r>
      <w:r>
        <w:rPr>
          <w:rFonts w:ascii="Arial" w:cs="Arial" w:eastAsia="Arial" w:hAnsi="Arial"/>
          <w:sz w:val="22"/>
          <w:szCs w:val="22"/>
          <w:color w:val="auto"/>
        </w:rPr>
        <w:t>. If an Event of Default shall have occurred and be continuing, after the acceleration of the Obligations pursuant to Section 7.01 or the exercise of other remedies provided for in Section 7.01, the Administrative Agent shall apply all or any part of any proceeds of the Collateral (including all Proceeds) and all payments received by it in respect of any of the Obligations in the following order:</w:t>
      </w:r>
    </w:p>
    <w:p>
      <w:pPr>
        <w:spacing w:after="0" w:line="161" w:lineRule="exact"/>
        <w:rPr>
          <w:sz w:val="20"/>
          <w:szCs w:val="20"/>
          <w:color w:val="auto"/>
        </w:rPr>
      </w:pPr>
    </w:p>
    <w:p>
      <w:pPr>
        <w:jc w:val="both"/>
        <w:ind w:left="1300" w:hanging="647"/>
        <w:spacing w:after="0" w:line="232"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pay incurred and unpaid fees and expenses of the Administrative Agent under the Loan Documents in its capacity as such;</w:t>
      </w:r>
    </w:p>
    <w:p>
      <w:pPr>
        <w:spacing w:after="0" w:line="159" w:lineRule="exact"/>
        <w:rPr>
          <w:sz w:val="20"/>
          <w:szCs w:val="20"/>
          <w:color w:val="auto"/>
        </w:rPr>
      </w:pPr>
    </w:p>
    <w:p>
      <w:pPr>
        <w:jc w:val="both"/>
        <w:ind w:left="1300" w:hanging="647"/>
        <w:spacing w:after="0" w:line="223"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Administrative Agent, for application by it towards payment of amounts remaining unpaid in respect of the Obligations, pro rata among the Secured Parties according to the amounts of such Obligations then due and owing and remaining unpaid to the Secured Parties;</w:t>
      </w:r>
    </w:p>
    <w:p>
      <w:pPr>
        <w:spacing w:after="0" w:line="159" w:lineRule="exact"/>
        <w:rPr>
          <w:sz w:val="20"/>
          <w:szCs w:val="20"/>
          <w:color w:val="auto"/>
        </w:rPr>
      </w:pPr>
    </w:p>
    <w:p>
      <w:pPr>
        <w:jc w:val="both"/>
        <w:ind w:left="1300" w:hanging="647"/>
        <w:spacing w:after="0" w:line="247" w:lineRule="auto"/>
        <w:rPr>
          <w:sz w:val="20"/>
          <w:szCs w:val="20"/>
          <w:color w:val="auto"/>
        </w:rPr>
      </w:pPr>
      <w:r>
        <w:rPr>
          <w:rFonts w:ascii="Arial" w:cs="Arial" w:eastAsia="Arial" w:hAnsi="Arial"/>
          <w:sz w:val="21"/>
          <w:szCs w:val="21"/>
          <w:u w:val="single" w:color="auto"/>
          <w:color w:val="auto"/>
        </w:rPr>
        <w:t>Third</w:t>
      </w:r>
      <w:r>
        <w:rPr>
          <w:rFonts w:ascii="Arial" w:cs="Arial" w:eastAsia="Arial" w:hAnsi="Arial"/>
          <w:sz w:val="21"/>
          <w:szCs w:val="21"/>
          <w:color w:val="auto"/>
        </w:rPr>
        <w:t>, to the Administrative Agent, for application by it towards payment of all other Obligations, pro rata among the Secured Parties according to the amounts of such Obligations then held by the Secured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01" w:right="339" w:bottom="1440" w:gutter="0" w:footer="0" w:header="0"/>
        </w:sectPr>
      </w:pPr>
    </w:p>
    <w:bookmarkStart w:id="198" w:name="page199"/>
    <w:bookmarkEnd w:id="198"/>
    <w:p>
      <w:pPr>
        <w:ind w:left="1300" w:hanging="647"/>
        <w:spacing w:after="0" w:line="232"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any balance remaining after the Obligations shall have been paid in fullshall be paid over to the Borrower, the Loan Parties or to whomsoever may be lawfully entitled to receive the same.</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Notwithstanding the foregoing, no amounts received from any Guarantor shall be applied to any Excluded Swap Obligations of such Guarantor.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jc w:val="center"/>
        <w:spacing w:after="0"/>
        <w:rPr>
          <w:sz w:val="20"/>
          <w:szCs w:val="20"/>
          <w:color w:val="auto"/>
        </w:rPr>
      </w:pPr>
      <w:r>
        <w:rPr>
          <w:rFonts w:ascii="Arial" w:cs="Arial" w:eastAsia="Arial" w:hAnsi="Arial"/>
          <w:sz w:val="22"/>
          <w:szCs w:val="22"/>
          <w:b w:val="1"/>
          <w:bCs w:val="1"/>
          <w:color w:val="auto"/>
        </w:rPr>
        <w:t>THE AGENTS</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of Administrative Agent</w:t>
      </w:r>
      <w:r>
        <w:rPr>
          <w:rFonts w:ascii="Arial" w:cs="Arial" w:eastAsia="Arial" w:hAnsi="Arial"/>
          <w:sz w:val="19"/>
          <w:szCs w:val="19"/>
          <w:color w:val="auto"/>
        </w:rPr>
        <w:t xml:space="preserve">. JPMorgan Chase Bank, N.A. is hereby appointed Administrative Agent hereunder and under the other Loan Documents and each Lender hereby authorizes JPMorgan Chase Bank, N.A. to act as Administrative Agent in accordance with the terms hereof and the other Loan Documents. Each Agent hereby agrees to act in its capacity as such upon the express conditions contained herein and the other Loan Documents, as applicable. The provisions of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are solely for the benefit of the Agents and Lenders and no Loan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the Borrower, the Parent or any of its Subsidiaries. As of the Effective Date, none of the Arrangers, Syndication Agent or the Documentation Agents in such capacity shall have any obligations but shall be entitled to all benefits of this </w:t>
      </w:r>
      <w:r>
        <w:rPr>
          <w:rFonts w:ascii="Arial" w:cs="Arial" w:eastAsia="Arial" w:hAnsi="Arial"/>
          <w:sz w:val="19"/>
          <w:szCs w:val="19"/>
          <w:u w:val="single" w:color="auto"/>
          <w:color w:val="auto"/>
        </w:rPr>
        <w:t>Article 8</w:t>
      </w:r>
      <w:r>
        <w:rPr>
          <w:rFonts w:ascii="Arial" w:cs="Arial" w:eastAsia="Arial" w:hAnsi="Arial"/>
          <w:sz w:val="19"/>
          <w:szCs w:val="19"/>
          <w:color w:val="auto"/>
        </w:rPr>
        <w:t>. The Arrangers, the Syndication Agent and the Documentation Agents may resign from such role at any time, with immediate effect, by giving prior written notice thereof to the Administrative Agent and the Borrower.</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Powers and Duties</w:t>
      </w:r>
      <w:r>
        <w:rPr>
          <w:rFonts w:ascii="Arial" w:cs="Arial" w:eastAsia="Arial" w:hAnsi="Arial"/>
          <w:sz w:val="21"/>
          <w:szCs w:val="21"/>
          <w:color w:val="auto"/>
        </w:rPr>
        <w:t>. Each Lender irrevocably authorizes each 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 specified herein and the other Loan Documents. Each Agent may exercise such powers, rights and remedies and perform such duties by or through its agents or employees. No Agent shall have, by reason hereof or any of the other Loan Documents, a fiduciary relationship in respect of any Lender or any other Person; and nothing herein or any of the other Loan Documents, expressed or implied, is intended to or shall be so construed as to impose upon any Agent any obligations in respect hereof or any of the other Loan Documents except as expressly set forth herein or therein.</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General Immunity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4" w:lineRule="auto"/>
        <w:tabs>
          <w:tab w:leader="none" w:pos="116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No Agent shall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Loan Party to any Agent or any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the Administrative Agent shall not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01" w:right="339" w:bottom="1440" w:gutter="0" w:footer="0" w:header="0"/>
        </w:sectPr>
      </w:pPr>
    </w:p>
    <w:bookmarkStart w:id="199" w:name="page200"/>
    <w:bookmarkEnd w:id="199"/>
    <w:p>
      <w:pPr>
        <w:spacing w:after="0" w:line="232" w:lineRule="auto"/>
        <w:rPr>
          <w:sz w:val="20"/>
          <w:szCs w:val="20"/>
          <w:color w:val="auto"/>
        </w:rPr>
      </w:pPr>
      <w:r>
        <w:rPr>
          <w:rFonts w:ascii="Arial" w:cs="Arial" w:eastAsia="Arial" w:hAnsi="Arial"/>
          <w:sz w:val="22"/>
          <w:szCs w:val="22"/>
          <w:color w:val="auto"/>
        </w:rPr>
        <w:t>liability arising from confirmations of the amount of outstanding Loans, the Revolving Credit Exposures or the component amounts thereof or any Dollar Equivalent.</w:t>
      </w:r>
    </w:p>
    <w:p>
      <w:pPr>
        <w:spacing w:after="0" w:line="159" w:lineRule="exact"/>
        <w:rPr>
          <w:sz w:val="20"/>
          <w:szCs w:val="20"/>
          <w:color w:val="auto"/>
        </w:rPr>
      </w:pPr>
    </w:p>
    <w:p>
      <w:pPr>
        <w:jc w:val="both"/>
        <w:ind w:firstLine="656"/>
        <w:spacing w:after="0"/>
        <w:tabs>
          <w:tab w:leader="none" w:pos="117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No Agent nor any of its officers, partners, directors, employees or agents shall be liable to Lenders for any action taken or omitted by any Agent under or in connection with any of the Loan Documents except to the extent caused by such Agent’s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and, upon receipt of such instructions from Required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Parent and its Subsidiaries), accountants, experts and other professional advisors selected by it; and (ii) no Lender shall have any right of action whatsoever against any Agent as a result of such Agent acting or (where so instructed) refraining from acting hereunder or any of the other Loan Documents in accordance with the instructions of Required Lenders (or such other Lenders as may be required to give such instructions under </w:t>
      </w:r>
      <w:r>
        <w:rPr>
          <w:rFonts w:ascii="Arial" w:cs="Arial" w:eastAsia="Arial" w:hAnsi="Arial"/>
          <w:sz w:val="19"/>
          <w:szCs w:val="19"/>
          <w:u w:val="single" w:color="auto"/>
          <w:color w:val="auto"/>
        </w:rPr>
        <w:t>Section 10.02</w:t>
      </w:r>
      <w:r>
        <w:rPr>
          <w:rFonts w:ascii="Arial" w:cs="Arial" w:eastAsia="Arial" w:hAnsi="Arial"/>
          <w:sz w:val="19"/>
          <w:szCs w:val="19"/>
          <w:color w:val="auto"/>
        </w:rPr>
        <w:t>).</w:t>
      </w:r>
    </w:p>
    <w:p>
      <w:pPr>
        <w:spacing w:after="0" w:line="387" w:lineRule="exact"/>
        <w:rPr>
          <w:rFonts w:ascii="Arial" w:cs="Arial" w:eastAsia="Arial" w:hAnsi="Arial"/>
          <w:sz w:val="19"/>
          <w:szCs w:val="19"/>
          <w:color w:val="auto"/>
        </w:rPr>
      </w:pPr>
    </w:p>
    <w:p>
      <w:pPr>
        <w:jc w:val="both"/>
        <w:ind w:firstLine="656"/>
        <w:spacing w:after="0" w:line="241" w:lineRule="auto"/>
        <w:tabs>
          <w:tab w:leader="none" w:pos="124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The Administrative Agent may perform any and all of its duties and exercise its rights and powers under this Agreement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indemnification and other provisions of this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and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shall apply to any the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and of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01" w:right="339" w:bottom="1440" w:gutter="0" w:footer="0" w:header="0"/>
        </w:sectPr>
      </w:pPr>
    </w:p>
    <w:bookmarkStart w:id="200" w:name="page201"/>
    <w:bookmarkEnd w:id="200"/>
    <w:p>
      <w:pPr>
        <w:jc w:val="both"/>
        <w:ind w:firstLine="648"/>
        <w:spacing w:after="0" w:line="244"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Administrative Agent Entitled to Act as Lender</w:t>
      </w:r>
      <w:r>
        <w:rPr>
          <w:rFonts w:ascii="Arial" w:cs="Arial" w:eastAsia="Arial" w:hAnsi="Arial"/>
          <w:sz w:val="19"/>
          <w:szCs w:val="19"/>
          <w:color w:val="auto"/>
        </w:rPr>
        <w:t>. The agency hereby created shall in no way impair or affect any of the rights and 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the Parent, the Borrower or any of their respective Affiliates as if it were not performing the duties specified herein, and may accept fees and other consideration from the Parent or the Borrower, as applicable, for services in connection herewith and otherwise without having to account for the same to Lenders.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u w:val="single" w:color="auto"/>
          <w:color w:val="auto"/>
        </w:rPr>
        <w:t>Lenders’ Representations, Warranties and Acknowledgment</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2" w:lineRule="auto"/>
        <w:tabs>
          <w:tab w:leader="none" w:pos="1169" w:val="left"/>
        </w:tabs>
        <w:numPr>
          <w:ilvl w:val="0"/>
          <w:numId w:val="168"/>
        </w:numPr>
        <w:rPr>
          <w:rFonts w:ascii="Arial" w:cs="Arial" w:eastAsia="Arial" w:hAnsi="Arial"/>
          <w:sz w:val="21"/>
          <w:szCs w:val="21"/>
          <w:color w:val="auto"/>
        </w:rPr>
      </w:pPr>
      <w:r>
        <w:rPr>
          <w:rFonts w:ascii="Arial" w:cs="Arial" w:eastAsia="Arial" w:hAnsi="Arial"/>
          <w:sz w:val="21"/>
          <w:szCs w:val="21"/>
          <w:color w:val="auto"/>
        </w:rPr>
        <w:t>Each Lender represents and warrants that it has made its own independent investigation of the financial condition and affairs of the Parent and its Subsidiaries in connection with Loans hereunder and that it has made and shall continue to make its own appraisal of the creditworthiness of the Parent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164" w:lineRule="exact"/>
        <w:rPr>
          <w:rFonts w:ascii="Arial" w:cs="Arial" w:eastAsia="Arial" w:hAnsi="Arial"/>
          <w:sz w:val="21"/>
          <w:szCs w:val="21"/>
          <w:color w:val="auto"/>
        </w:rPr>
      </w:pPr>
    </w:p>
    <w:p>
      <w:pPr>
        <w:jc w:val="both"/>
        <w:ind w:firstLine="656"/>
        <w:spacing w:after="0" w:line="216" w:lineRule="auto"/>
        <w:tabs>
          <w:tab w:leader="none" w:pos="125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Lender, by delivering its signature page to this Agreement, an Assignment and Assumption or a Joinder Agreement and funding its Loans on or after the Effective Date or by the funding of any New Loans, as the case may be, shall be deemed to have acknowledged receipt of, and consented to and approved, each Loan Document and each other document required to be approved by any Agent, Issuing Bank or Lender, as applicable on the Effective Date or as of the date of funding of such New Loans.</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Right to Indemnity</w:t>
      </w:r>
      <w:r>
        <w:rPr>
          <w:rFonts w:ascii="Arial" w:cs="Arial" w:eastAsia="Arial" w:hAnsi="Arial"/>
          <w:sz w:val="19"/>
          <w:szCs w:val="19"/>
          <w:color w:val="auto"/>
        </w:rPr>
        <w:t xml:space="preserve">. Each Lender, in proportion to its Applicable Percentage, severally agrees to indemnify each Agent, to the extent that such Agent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no event shall this sentence require any Lender to indemnify any Agent against any liability, obligation, loss, damage, penalty, action, judgment, suit, cost, expense or disbursement in excess of such Lender’s Applicable Percentage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this sentence shall not be deemed to require any Lender to indemnify any Agent against any liability, obligation, loss, damage, penalty, action, judgment, suit, cost, expense or disbursement described in the proviso in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01" w:right="339" w:bottom="1440" w:gutter="0" w:footer="0" w:header="0"/>
        </w:sectPr>
      </w:pPr>
    </w:p>
    <w:bookmarkStart w:id="201" w:name="page202"/>
    <w:bookmarkEnd w:id="201"/>
    <w:p>
      <w:pPr>
        <w:jc w:val="both"/>
        <w:ind w:firstLine="648"/>
        <w:spacing w:after="0"/>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xml:space="preserve">. The Administrative Agent shall have the right to resign at any time by giving prior written notice thereof to Lenders and the Borrower. The Administrative Agent shall have the right to appoint a financial institution to act as the Administrative Agent hereunder, subject to the reasonable satisfaction of (i) except if an Event of Default has occurred and is continuing, the Borrower and (ii) the Required Lenders, and the Administrative Agent’s resignation shall become effective on the earliest of (i) 30 days after delivery of the notice of resignation (regardless of whether a successor has been appointed or not), (ii) the acceptance of such successor Administrative Agent by the Borrower and the Required Lenders or (iii) such other date, if any, agreed to by the Required Lenders. Upon any such notice of resignation, if a successor Administrative Agent has not already been appointed by the retiring Administrative Agent, Required Lenders shall have the right, in consultation with the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held under the Loan Documents, together with all records and other documents necessary or appropriate in connection with the performance of the duties of the successor Administrative Agent under the Loan Documents, and (ii) take such other actions, as may be necessary or appropriate in connection with the assignment to such successor Administrative Agent of the Loan Documents, whereupon such retiring Administrative Agent shall be discharged from its duties and obligations hereunder or under the other Loan Documents (if not already discharged therefrom as provided above in this Article). After any retiring Administrative Agent’s resignation hereunder as Administrative Agent, the provisions of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shall inure to its benefit as to any actions taken or omitted to be taken by it while it was Administrative Agent hereunder.</w:t>
      </w:r>
    </w:p>
    <w:p>
      <w:pPr>
        <w:spacing w:after="0" w:line="38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9"/>
          <w:szCs w:val="19"/>
          <w:u w:val="single" w:color="auto"/>
          <w:color w:val="auto"/>
        </w:rPr>
        <w:t>Guaranty and Security Documents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2" w:lineRule="auto"/>
        <w:tabs>
          <w:tab w:leader="none" w:pos="114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Each Lender hereby further authorizes the Administrative Agent, on behalf of and for the benefit of the Lenders, to be the agent for and representative of the Lenders with respect to the Guaranty and the Loan Documents.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w:t>
      </w:r>
      <w:r>
        <w:rPr>
          <w:rFonts w:ascii="Arial" w:cs="Arial" w:eastAsia="Arial" w:hAnsi="Arial"/>
          <w:sz w:val="19"/>
          <w:szCs w:val="19"/>
          <w:color w:val="auto"/>
        </w:rPr>
        <w:t xml:space="preserve">, without further written consent or authorization from any Lender, the Administrative Agent may execute any documents or instruments necessary to release any Guarantor from the Guaranty pursuant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or with respect to which Required Lenders (or such other Lenders as may be required to give such consent under </w:t>
      </w:r>
      <w:r>
        <w:rPr>
          <w:rFonts w:ascii="Arial" w:cs="Arial" w:eastAsia="Arial" w:hAnsi="Arial"/>
          <w:sz w:val="19"/>
          <w:szCs w:val="19"/>
          <w:u w:val="single" w:color="auto"/>
          <w:color w:val="auto"/>
        </w:rPr>
        <w:t>Section 10.02</w:t>
      </w:r>
      <w:r>
        <w:rPr>
          <w:rFonts w:ascii="Arial" w:cs="Arial" w:eastAsia="Arial" w:hAnsi="Arial"/>
          <w:sz w:val="19"/>
          <w:szCs w:val="19"/>
          <w:color w:val="auto"/>
        </w:rPr>
        <w:t>) have otherwise consented.</w:t>
      </w:r>
    </w:p>
    <w:p>
      <w:pPr>
        <w:spacing w:after="0" w:line="148" w:lineRule="exact"/>
        <w:rPr>
          <w:rFonts w:ascii="Arial" w:cs="Arial" w:eastAsia="Arial" w:hAnsi="Arial"/>
          <w:sz w:val="19"/>
          <w:szCs w:val="19"/>
          <w:color w:val="auto"/>
        </w:rPr>
      </w:pPr>
    </w:p>
    <w:p>
      <w:pPr>
        <w:jc w:val="both"/>
        <w:ind w:firstLine="656"/>
        <w:spacing w:after="0" w:line="216" w:lineRule="auto"/>
        <w:tabs>
          <w:tab w:leader="none" w:pos="111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Anything contained in any of the Loan Documents to the contrary notwithstanding, the Borrower, the Administrative Agent and each Lender hereby agree that no Lender shall have any right individually to enforce the Guaranty or the Security Documents, it being understood and agreed that all powers, rights and remedies hereunder and under any of the Loan Documents may be exercised solely by the Administrative Agent, for the benefit of the Lenders in accordance with the terms hereof and thereof.</w:t>
      </w:r>
    </w:p>
    <w:p>
      <w:pPr>
        <w:spacing w:after="0" w:line="157" w:lineRule="exact"/>
        <w:rPr>
          <w:rFonts w:ascii="Arial" w:cs="Arial" w:eastAsia="Arial" w:hAnsi="Arial"/>
          <w:sz w:val="22"/>
          <w:szCs w:val="22"/>
          <w:color w:val="auto"/>
        </w:rPr>
      </w:pPr>
    </w:p>
    <w:p>
      <w:pPr>
        <w:jc w:val="both"/>
        <w:ind w:firstLine="656"/>
        <w:spacing w:after="0" w:line="249" w:lineRule="auto"/>
        <w:tabs>
          <w:tab w:leader="none" w:pos="124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any other Loan Document, when all Obligations (including unreimbursed LC Disbursements, but excluding contingent obligations as to which no claim has been asserted) have been paid in full and all Commitments have terminated or expired and no Letter of Credit shall be outstanding or subject to any pending draw (or otherwise Cash Collateralized or backstopped or deemed reissued under another agreement reasonably acceptable to the applicable Issuing Bank), upon request of the Borrower, the Administrative Agent shall take such actions as shall be required to release all guarantee obligations provided for in and Liens created by any Loan Document.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01" w:right="339" w:bottom="1440" w:gutter="0" w:footer="0" w:header="0"/>
        </w:sectPr>
      </w:pPr>
    </w:p>
    <w:bookmarkStart w:id="202" w:name="page203"/>
    <w:bookmarkEnd w:id="202"/>
    <w:p>
      <w:pPr>
        <w:jc w:val="both"/>
        <w:spacing w:after="0" w:line="214" w:lineRule="auto"/>
        <w:rPr>
          <w:sz w:val="20"/>
          <w:szCs w:val="20"/>
          <w:color w:val="auto"/>
        </w:rPr>
      </w:pPr>
      <w:r>
        <w:rPr>
          <w:rFonts w:ascii="Arial" w:cs="Arial" w:eastAsia="Arial" w:hAnsi="Arial"/>
          <w:sz w:val="22"/>
          <w:szCs w:val="22"/>
          <w:color w:val="auto"/>
        </w:rPr>
        <w:t>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5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Withholding Taxes</w:t>
      </w:r>
      <w:r>
        <w:rPr>
          <w:rFonts w:ascii="Arial" w:cs="Arial" w:eastAsia="Arial" w:hAnsi="Arial"/>
          <w:sz w:val="21"/>
          <w:szCs w:val="21"/>
          <w:color w:val="auto"/>
        </w:rPr>
        <w:t>. To the extent required by any applicable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Administrative Agent May File Bankruptcy Disclosure and Proofs of Claim</w:t>
      </w:r>
      <w:r>
        <w:rPr>
          <w:rFonts w:ascii="Arial" w:cs="Arial" w:eastAsia="Arial" w:hAnsi="Arial"/>
          <w:sz w:val="19"/>
          <w:szCs w:val="19"/>
          <w:color w:val="auto"/>
        </w:rPr>
        <w:t>. In case of the pendency of any proceeding under any Debtor Relief Laws relative to any Loan Party, the Administrative Agent (irrespective of whether the principal of any Loan or Obligation under a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49" w:lineRule="exact"/>
        <w:rPr>
          <w:sz w:val="20"/>
          <w:szCs w:val="20"/>
          <w:color w:val="auto"/>
        </w:rPr>
      </w:pPr>
    </w:p>
    <w:p>
      <w:pPr>
        <w:ind w:firstLine="656"/>
        <w:spacing w:after="0" w:line="232" w:lineRule="auto"/>
        <w:tabs>
          <w:tab w:leader="none" w:pos="1213"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58" w:lineRule="exact"/>
        <w:rPr>
          <w:rFonts w:ascii="Arial" w:cs="Arial" w:eastAsia="Arial" w:hAnsi="Arial"/>
          <w:sz w:val="22"/>
          <w:szCs w:val="22"/>
          <w:color w:val="auto"/>
        </w:rPr>
      </w:pPr>
    </w:p>
    <w:p>
      <w:pPr>
        <w:jc w:val="both"/>
        <w:ind w:firstLine="656"/>
        <w:spacing w:after="0" w:line="252" w:lineRule="auto"/>
        <w:tabs>
          <w:tab w:leader="none" w:pos="112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Administrative Agent and its respective agents and counsel and all other amounts due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allowed in such judicial proceeding); and</w:t>
      </w:r>
    </w:p>
    <w:p>
      <w:pPr>
        <w:spacing w:after="0" w:line="148" w:lineRule="exact"/>
        <w:rPr>
          <w:rFonts w:ascii="Arial" w:cs="Arial" w:eastAsia="Arial" w:hAnsi="Arial"/>
          <w:sz w:val="19"/>
          <w:szCs w:val="19"/>
          <w:color w:val="auto"/>
        </w:rPr>
      </w:pPr>
    </w:p>
    <w:p>
      <w:pPr>
        <w:ind w:left="1160" w:hanging="504"/>
        <w:spacing w:after="0"/>
        <w:tabs>
          <w:tab w:leader="none" w:pos="11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same;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and any custodian, receiver, assignee, trustee, liquidator, sequestrator or other similar official in any such judicial proceeding is hereby authorized by each Lender and Issuing Bank to make such payments to Administrative Agent and, in the event that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to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To the extent that the payment of any such compensation, expenses, disbursements and advances of the Administrative Agent, its agents and counsel, and any other amounts due to the Administrative Agent under </w:t>
      </w:r>
      <w:r>
        <w:rPr>
          <w:rFonts w:ascii="Arial" w:cs="Arial" w:eastAsia="Arial" w:hAnsi="Arial"/>
          <w:sz w:val="19"/>
          <w:szCs w:val="19"/>
          <w:u w:val="single" w:color="auto"/>
          <w:color w:val="auto"/>
        </w:rPr>
        <w:t>Sections 2.09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01" w:right="339" w:bottom="1440" w:gutter="0" w:footer="0" w:header="0"/>
        </w:sectPr>
      </w:pPr>
    </w:p>
    <w:bookmarkStart w:id="203" w:name="page204"/>
    <w:bookmarkEnd w:id="203"/>
    <w:p>
      <w:pPr>
        <w:jc w:val="both"/>
        <w:spacing w:after="0" w:line="218"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10.03</w:t>
      </w:r>
      <w:r>
        <w:rPr>
          <w:rFonts w:ascii="Arial" w:cs="Arial" w:eastAsia="Arial" w:hAnsi="Arial"/>
          <w:sz w:val="22"/>
          <w:szCs w:val="22"/>
          <w:color w:val="auto"/>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8.11</w:t>
      </w:r>
      <w:r>
        <w:rPr>
          <w:sz w:val="20"/>
          <w:szCs w:val="20"/>
          <w:color w:val="auto"/>
        </w:rPr>
        <w:tab/>
      </w:r>
      <w:r>
        <w:rPr>
          <w:rFonts w:ascii="Arial" w:cs="Arial" w:eastAsia="Arial" w:hAnsi="Arial"/>
          <w:sz w:val="19"/>
          <w:szCs w:val="19"/>
          <w:u w:val="single" w:color="auto"/>
          <w:color w:val="auto"/>
        </w:rPr>
        <w:t>Acknowledgment of Lenders and Issuing Banks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2" w:lineRule="auto"/>
        <w:tabs>
          <w:tab w:leader="none" w:pos="1157" w:val="left"/>
        </w:tabs>
        <w:numPr>
          <w:ilvl w:val="1"/>
          <w:numId w:val="171"/>
        </w:numPr>
        <w:rPr>
          <w:rFonts w:ascii="Arial" w:cs="Arial" w:eastAsia="Arial" w:hAnsi="Arial"/>
          <w:sz w:val="19"/>
          <w:szCs w:val="19"/>
          <w:color w:val="auto"/>
        </w:rPr>
      </w:pPr>
      <w:r>
        <w:rPr>
          <w:rFonts w:ascii="Arial" w:cs="Arial" w:eastAsia="Arial" w:hAnsi="Arial"/>
          <w:sz w:val="19"/>
          <w:szCs w:val="19"/>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b w:val="1"/>
          <w:bCs w:val="1"/>
          <w:color w:val="auto"/>
        </w:rPr>
        <w:t>Payment</w:t>
      </w:r>
      <w:r>
        <w:rPr>
          <w:rFonts w:ascii="Arial" w:cs="Arial" w:eastAsia="Arial" w:hAnsi="Arial"/>
          <w:sz w:val="19"/>
          <w:szCs w:val="19"/>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8.11(a)</w:t>
      </w:r>
      <w:r>
        <w:rPr>
          <w:rFonts w:ascii="Arial" w:cs="Arial" w:eastAsia="Arial" w:hAnsi="Arial"/>
          <w:sz w:val="19"/>
          <w:szCs w:val="19"/>
          <w:color w:val="auto"/>
        </w:rPr>
        <w:t xml:space="preserve"> shall be conclusive, absent manifest error.</w:t>
      </w:r>
    </w:p>
    <w:p>
      <w:pPr>
        <w:spacing w:after="0" w:line="376" w:lineRule="exact"/>
        <w:rPr>
          <w:rFonts w:ascii="Arial" w:cs="Arial" w:eastAsia="Arial" w:hAnsi="Arial"/>
          <w:sz w:val="19"/>
          <w:szCs w:val="19"/>
          <w:color w:val="auto"/>
        </w:rPr>
      </w:pPr>
    </w:p>
    <w:p>
      <w:pPr>
        <w:ind w:left="1120" w:hanging="464"/>
        <w:spacing w:after="0"/>
        <w:tabs>
          <w:tab w:leader="none" w:pos="112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w:t>
      </w:r>
    </w:p>
    <w:p>
      <w:pPr>
        <w:spacing w:after="0" w:line="15" w:lineRule="exact"/>
        <w:rPr>
          <w:rFonts w:ascii="Arial" w:cs="Arial" w:eastAsia="Arial" w:hAnsi="Arial"/>
          <w:sz w:val="19"/>
          <w:szCs w:val="19"/>
          <w:color w:val="auto"/>
        </w:rPr>
      </w:pPr>
    </w:p>
    <w:p>
      <w:pPr>
        <w:jc w:val="both"/>
        <w:ind w:firstLine="8"/>
        <w:spacing w:after="0" w:line="241" w:lineRule="auto"/>
        <w:tabs>
          <w:tab w:leader="none" w:pos="31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b w:val="1"/>
          <w:bCs w:val="1"/>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01" w:right="339" w:bottom="1440" w:gutter="0" w:footer="0" w:header="0"/>
        </w:sectPr>
      </w:pPr>
    </w:p>
    <w:bookmarkStart w:id="204" w:name="page205"/>
    <w:bookmarkEnd w:id="204"/>
    <w:p>
      <w:pPr>
        <w:jc w:val="both"/>
        <w:ind w:firstLine="656"/>
        <w:spacing w:after="0" w:line="244" w:lineRule="auto"/>
        <w:tabs>
          <w:tab w:leader="none" w:pos="122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8.11(c)</w:t>
      </w:r>
      <w:r>
        <w:rPr>
          <w:rFonts w:ascii="Arial" w:cs="Arial" w:eastAsia="Arial" w:hAnsi="Arial"/>
          <w:sz w:val="19"/>
          <w:szCs w:val="19"/>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for the avoidance of doubt, immediately preceding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Section 8.11(a)</w:t>
      </w:r>
      <w:r>
        <w:rPr>
          <w:rFonts w:ascii="Arial" w:cs="Arial" w:eastAsia="Arial" w:hAnsi="Arial"/>
          <w:sz w:val="22"/>
          <w:szCs w:val="22"/>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8.12</w:t>
      </w:r>
      <w:r>
        <w:rPr>
          <w:sz w:val="20"/>
          <w:szCs w:val="20"/>
          <w:color w:val="auto"/>
        </w:rPr>
        <w:tab/>
      </w:r>
      <w:r>
        <w:rPr>
          <w:rFonts w:ascii="Arial" w:cs="Arial" w:eastAsia="Arial" w:hAnsi="Arial"/>
          <w:sz w:val="19"/>
          <w:szCs w:val="19"/>
          <w:u w:val="single" w:color="auto"/>
          <w:color w:val="auto"/>
        </w:rPr>
        <w:t>Authorization of the Administrative Agent under German Law</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For the purposes of any German Security, in addition to the provisions set out in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the specific provisions set out in paragraph (a) through (h) below of this </w:t>
      </w:r>
      <w:r>
        <w:rPr>
          <w:rFonts w:ascii="Arial" w:cs="Arial" w:eastAsia="Arial" w:hAnsi="Arial"/>
          <w:sz w:val="22"/>
          <w:szCs w:val="22"/>
          <w:u w:val="single" w:color="auto"/>
          <w:color w:val="auto"/>
        </w:rPr>
        <w:t>Section 8.12</w:t>
      </w:r>
      <w:r>
        <w:rPr>
          <w:rFonts w:ascii="Arial" w:cs="Arial" w:eastAsia="Arial" w:hAnsi="Arial"/>
          <w:sz w:val="22"/>
          <w:szCs w:val="22"/>
          <w:color w:val="auto"/>
        </w:rPr>
        <w:t xml:space="preserve"> shall be applicable. With respect to German Security, in the case of any inconsistency, the provisions set forth in this </w:t>
      </w:r>
      <w:r>
        <w:rPr>
          <w:rFonts w:ascii="Arial" w:cs="Arial" w:eastAsia="Arial" w:hAnsi="Arial"/>
          <w:sz w:val="22"/>
          <w:szCs w:val="22"/>
          <w:u w:val="single" w:color="auto"/>
          <w:color w:val="auto"/>
        </w:rPr>
        <w:t>Section 8.12</w:t>
      </w:r>
      <w:r>
        <w:rPr>
          <w:rFonts w:ascii="Arial" w:cs="Arial" w:eastAsia="Arial" w:hAnsi="Arial"/>
          <w:sz w:val="22"/>
          <w:szCs w:val="22"/>
          <w:color w:val="auto"/>
        </w:rPr>
        <w:t xml:space="preserve"> shall prevail.</w:t>
      </w:r>
    </w:p>
    <w:p>
      <w:pPr>
        <w:spacing w:after="0" w:line="159" w:lineRule="exact"/>
        <w:rPr>
          <w:sz w:val="20"/>
          <w:szCs w:val="20"/>
          <w:color w:val="auto"/>
        </w:rPr>
      </w:pPr>
    </w:p>
    <w:p>
      <w:pPr>
        <w:jc w:val="both"/>
        <w:ind w:firstLine="656"/>
        <w:spacing w:after="0" w:line="223" w:lineRule="auto"/>
        <w:tabs>
          <w:tab w:leader="none" w:pos="118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Subject to German law, with respect to any German Security constituted by non– accessory (</w:t>
      </w:r>
      <w:r>
        <w:rPr>
          <w:rFonts w:ascii="Arial" w:cs="Arial" w:eastAsia="Arial" w:hAnsi="Arial"/>
          <w:sz w:val="22"/>
          <w:szCs w:val="22"/>
          <w:i w:val="1"/>
          <w:iCs w:val="1"/>
          <w:color w:val="auto"/>
        </w:rPr>
        <w:t>nicht akzessorische</w:t>
      </w:r>
      <w:r>
        <w:rPr>
          <w:rFonts w:ascii="Arial" w:cs="Arial" w:eastAsia="Arial" w:hAnsi="Arial"/>
          <w:sz w:val="22"/>
          <w:szCs w:val="22"/>
          <w:color w:val="auto"/>
        </w:rPr>
        <w:t>) security interests, the Administrative Agent shall hold, administer and, as the case may be, enforce or release such German Security in its own name, but for the benefit of the Secured Parties.</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31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Subject to German law, the Administrative Agent shall administer and (subject to the same having become enforceable and to the terms of this Agreement) realise any German Security which is pledged (</w:t>
      </w:r>
      <w:r>
        <w:rPr>
          <w:rFonts w:ascii="Arial" w:cs="Arial" w:eastAsia="Arial" w:hAnsi="Arial"/>
          <w:sz w:val="22"/>
          <w:szCs w:val="22"/>
          <w:i w:val="1"/>
          <w:iCs w:val="1"/>
          <w:color w:val="auto"/>
        </w:rPr>
        <w:t>Verpfändung</w:t>
      </w:r>
      <w:r>
        <w:rPr>
          <w:rFonts w:ascii="Arial" w:cs="Arial" w:eastAsia="Arial" w:hAnsi="Arial"/>
          <w:sz w:val="22"/>
          <w:szCs w:val="22"/>
          <w:color w:val="auto"/>
        </w:rPr>
        <w:t>) to it and/or the Secured Parties (or any of them) under an accessory security right (</w:t>
      </w:r>
      <w:r>
        <w:rPr>
          <w:rFonts w:ascii="Arial" w:cs="Arial" w:eastAsia="Arial" w:hAnsi="Arial"/>
          <w:sz w:val="22"/>
          <w:szCs w:val="22"/>
          <w:i w:val="1"/>
          <w:iCs w:val="1"/>
          <w:color w:val="auto"/>
        </w:rPr>
        <w:t>akzessorische Sicherheit</w:t>
      </w:r>
      <w:r>
        <w:rPr>
          <w:rFonts w:ascii="Arial" w:cs="Arial" w:eastAsia="Arial" w:hAnsi="Arial"/>
          <w:sz w:val="22"/>
          <w:szCs w:val="22"/>
          <w:color w:val="auto"/>
        </w:rPr>
        <w:t>) for the benefit of the Secured Parties.</w:t>
      </w:r>
    </w:p>
    <w:p>
      <w:pPr>
        <w:spacing w:after="0" w:line="160" w:lineRule="exact"/>
        <w:rPr>
          <w:rFonts w:ascii="Arial" w:cs="Arial" w:eastAsia="Arial" w:hAnsi="Arial"/>
          <w:sz w:val="22"/>
          <w:szCs w:val="22"/>
          <w:color w:val="auto"/>
        </w:rPr>
      </w:pPr>
    </w:p>
    <w:p>
      <w:pPr>
        <w:ind w:left="1120" w:hanging="464"/>
        <w:spacing w:after="0"/>
        <w:tabs>
          <w:tab w:leader="none" w:pos="112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If and when acting in its capacity as creditor of the Parallel Debt, the Administrative Agent shall hold:</w:t>
      </w:r>
    </w:p>
    <w:p>
      <w:pPr>
        <w:spacing w:after="0" w:line="179" w:lineRule="exact"/>
        <w:rPr>
          <w:rFonts w:ascii="Arial" w:cs="Arial" w:eastAsia="Arial" w:hAnsi="Arial"/>
          <w:sz w:val="22"/>
          <w:szCs w:val="22"/>
          <w:color w:val="auto"/>
        </w:rPr>
      </w:pPr>
    </w:p>
    <w:p>
      <w:pPr>
        <w:ind w:left="1960" w:hanging="656"/>
        <w:spacing w:after="0" w:line="223" w:lineRule="auto"/>
        <w:tabs>
          <w:tab w:leader="none" w:pos="1775"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any German Security which is created in favour of the Administrative Agent as creditor of the Parallel Debt by way of a pledge (</w:t>
      </w:r>
      <w:r>
        <w:rPr>
          <w:rFonts w:ascii="Arial" w:cs="Arial" w:eastAsia="Arial" w:hAnsi="Arial"/>
          <w:sz w:val="22"/>
          <w:szCs w:val="22"/>
          <w:i w:val="1"/>
          <w:iCs w:val="1"/>
          <w:color w:val="auto"/>
        </w:rPr>
        <w:t>Verpfändung</w:t>
      </w:r>
      <w:r>
        <w:rPr>
          <w:rFonts w:ascii="Arial" w:cs="Arial" w:eastAsia="Arial" w:hAnsi="Arial"/>
          <w:sz w:val="22"/>
          <w:szCs w:val="22"/>
          <w:color w:val="auto"/>
        </w:rPr>
        <w:t>) or any other German law accessory security right (</w:t>
      </w:r>
      <w:r>
        <w:rPr>
          <w:rFonts w:ascii="Arial" w:cs="Arial" w:eastAsia="Arial" w:hAnsi="Arial"/>
          <w:sz w:val="22"/>
          <w:szCs w:val="22"/>
          <w:i w:val="1"/>
          <w:iCs w:val="1"/>
          <w:color w:val="auto"/>
        </w:rPr>
        <w:t>akzessorische</w:t>
      </w:r>
      <w:r>
        <w:rPr>
          <w:rFonts w:ascii="Arial" w:cs="Arial" w:eastAsia="Arial" w:hAnsi="Arial"/>
          <w:sz w:val="22"/>
          <w:szCs w:val="22"/>
          <w:color w:val="auto"/>
        </w:rPr>
        <w:t xml:space="preserve"> </w:t>
      </w:r>
      <w:r>
        <w:rPr>
          <w:rFonts w:ascii="Arial" w:cs="Arial" w:eastAsia="Arial" w:hAnsi="Arial"/>
          <w:sz w:val="22"/>
          <w:szCs w:val="22"/>
          <w:i w:val="1"/>
          <w:iCs w:val="1"/>
          <w:color w:val="auto"/>
        </w:rPr>
        <w:t>Sicherheit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any proceeds of such German Security; and</w:t>
      </w:r>
    </w:p>
    <w:p>
      <w:pPr>
        <w:spacing w:after="0" w:line="179" w:lineRule="exact"/>
        <w:rPr>
          <w:rFonts w:ascii="Arial" w:cs="Arial" w:eastAsia="Arial" w:hAnsi="Arial"/>
          <w:sz w:val="22"/>
          <w:szCs w:val="22"/>
          <w:color w:val="auto"/>
        </w:rPr>
      </w:pPr>
    </w:p>
    <w:p>
      <w:pPr>
        <w:ind w:left="1840" w:hanging="536"/>
        <w:spacing w:after="0"/>
        <w:tabs>
          <w:tab w:leader="none" w:pos="184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benefit of this paragraph (c) and of the Parallel Debt,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as creditor in its own right but (also) for the benefit of the (other) Secured Parties in accordance with this Agreement.</w:t>
      </w:r>
    </w:p>
    <w:p>
      <w:pPr>
        <w:spacing w:after="0" w:line="214" w:lineRule="exact"/>
        <w:rPr>
          <w:sz w:val="20"/>
          <w:szCs w:val="20"/>
          <w:color w:val="auto"/>
        </w:rPr>
      </w:pPr>
    </w:p>
    <w:p>
      <w:pPr>
        <w:jc w:val="both"/>
        <w:ind w:firstLine="656"/>
        <w:spacing w:after="0" w:line="223" w:lineRule="auto"/>
        <w:tabs>
          <w:tab w:leader="none" w:pos="112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With regard to any Security Document creating any accessory (</w:t>
      </w:r>
      <w:r>
        <w:rPr>
          <w:rFonts w:ascii="Arial" w:cs="Arial" w:eastAsia="Arial" w:hAnsi="Arial"/>
          <w:sz w:val="22"/>
          <w:szCs w:val="22"/>
          <w:i w:val="1"/>
          <w:iCs w:val="1"/>
          <w:color w:val="auto"/>
        </w:rPr>
        <w:t>akzessorische</w:t>
      </w:r>
      <w:r>
        <w:rPr>
          <w:rFonts w:ascii="Arial" w:cs="Arial" w:eastAsia="Arial" w:hAnsi="Arial"/>
          <w:sz w:val="22"/>
          <w:szCs w:val="22"/>
          <w:color w:val="auto"/>
        </w:rPr>
        <w:t>) German Security and for the purposes of entering into any such Security Document, performing the rights and obligations thereunder, amending, enforcing and/or releasing such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01" w:right="339" w:bottom="1440" w:gutter="0" w:footer="0" w:header="0"/>
        </w:sectPr>
      </w:pPr>
    </w:p>
    <w:bookmarkStart w:id="205" w:name="page206"/>
    <w:bookmarkEnd w:id="205"/>
    <w:p>
      <w:pPr>
        <w:jc w:val="both"/>
        <w:spacing w:after="0" w:line="222" w:lineRule="auto"/>
        <w:rPr>
          <w:sz w:val="20"/>
          <w:szCs w:val="20"/>
          <w:color w:val="auto"/>
        </w:rPr>
      </w:pPr>
      <w:r>
        <w:rPr>
          <w:rFonts w:ascii="Arial" w:cs="Arial" w:eastAsia="Arial" w:hAnsi="Arial"/>
          <w:sz w:val="21"/>
          <w:szCs w:val="21"/>
          <w:color w:val="auto"/>
        </w:rPr>
        <w:t>Document, each Secured Party hereby instructs and authorizes the Administrative Agent to act as its agent (</w:t>
      </w:r>
      <w:r>
        <w:rPr>
          <w:rFonts w:ascii="Arial" w:cs="Arial" w:eastAsia="Arial" w:hAnsi="Arial"/>
          <w:sz w:val="21"/>
          <w:szCs w:val="21"/>
          <w:i w:val="1"/>
          <w:iCs w:val="1"/>
          <w:color w:val="auto"/>
        </w:rPr>
        <w:t>Stellvertreter</w:t>
      </w:r>
      <w:r>
        <w:rPr>
          <w:rFonts w:ascii="Arial" w:cs="Arial" w:eastAsia="Arial" w:hAnsi="Arial"/>
          <w:sz w:val="21"/>
          <w:szCs w:val="21"/>
          <w:color w:val="auto"/>
        </w:rPr>
        <w:t>), and releases the Administrative Agent from the restrictions imposed by Section 181 German Civil Code (</w:t>
      </w:r>
      <w:r>
        <w:rPr>
          <w:rFonts w:ascii="Arial" w:cs="Arial" w:eastAsia="Arial" w:hAnsi="Arial"/>
          <w:sz w:val="21"/>
          <w:szCs w:val="21"/>
          <w:i w:val="1"/>
          <w:iCs w:val="1"/>
          <w:color w:val="auto"/>
        </w:rPr>
        <w:t>Bürgerliches Gesetzbuch</w:t>
      </w:r>
      <w:r>
        <w:rPr>
          <w:rFonts w:ascii="Arial" w:cs="Arial" w:eastAsia="Arial" w:hAnsi="Arial"/>
          <w:sz w:val="21"/>
          <w:szCs w:val="21"/>
          <w:color w:val="auto"/>
        </w:rPr>
        <w:t>) and similar restrictions applicable to it pursuant to any other applicable law, in each case (i) with the right of sub-delegation and the right to release the sub-delegates from the restrictions of such Section 181 of the German Civil Code (</w:t>
      </w:r>
      <w:r>
        <w:rPr>
          <w:rFonts w:ascii="Arial" w:cs="Arial" w:eastAsia="Arial" w:hAnsi="Arial"/>
          <w:sz w:val="21"/>
          <w:szCs w:val="21"/>
          <w:i w:val="1"/>
          <w:iCs w:val="1"/>
          <w:color w:val="auto"/>
        </w:rPr>
        <w:t>Bürgerliches</w:t>
      </w:r>
      <w:r>
        <w:rPr>
          <w:rFonts w:ascii="Arial" w:cs="Arial" w:eastAsia="Arial" w:hAnsi="Arial"/>
          <w:sz w:val="21"/>
          <w:szCs w:val="21"/>
          <w:color w:val="auto"/>
        </w:rPr>
        <w:t xml:space="preserve"> </w:t>
      </w:r>
      <w:r>
        <w:rPr>
          <w:rFonts w:ascii="Arial" w:cs="Arial" w:eastAsia="Arial" w:hAnsi="Arial"/>
          <w:sz w:val="21"/>
          <w:szCs w:val="21"/>
          <w:i w:val="1"/>
          <w:iCs w:val="1"/>
          <w:color w:val="auto"/>
        </w:rPr>
        <w:t>Gesetzbuch</w:t>
      </w:r>
      <w:r>
        <w:rPr>
          <w:rFonts w:ascii="Arial" w:cs="Arial" w:eastAsia="Arial" w:hAnsi="Arial"/>
          <w:sz w:val="21"/>
          <w:szCs w:val="21"/>
          <w:color w:val="auto"/>
        </w:rPr>
        <w:t>) and similar restrictions applicable to it pursuant to any other applicable law and (ii) limited to the extent legally</w:t>
      </w:r>
      <w:r>
        <w:rPr>
          <w:rFonts w:ascii="Arial" w:cs="Arial" w:eastAsia="Arial" w:hAnsi="Arial"/>
          <w:sz w:val="21"/>
          <w:szCs w:val="21"/>
          <w:i w:val="1"/>
          <w:iCs w:val="1"/>
          <w:color w:val="auto"/>
        </w:rPr>
        <w:t xml:space="preserve"> </w:t>
      </w:r>
      <w:r>
        <w:rPr>
          <w:rFonts w:ascii="Arial" w:cs="Arial" w:eastAsia="Arial" w:hAnsi="Arial"/>
          <w:sz w:val="21"/>
          <w:szCs w:val="21"/>
          <w:color w:val="auto"/>
        </w:rPr>
        <w:t>possible to such Secured Party. A Secured Party which is barred by its constitutional documents or bylaws from granting such exemption shall notify the Administrative Agent accordingly.</w:t>
      </w:r>
    </w:p>
    <w:p>
      <w:pPr>
        <w:spacing w:after="0" w:line="164" w:lineRule="exact"/>
        <w:rPr>
          <w:sz w:val="20"/>
          <w:szCs w:val="20"/>
          <w:color w:val="auto"/>
        </w:rPr>
      </w:pPr>
    </w:p>
    <w:p>
      <w:pPr>
        <w:jc w:val="both"/>
        <w:ind w:firstLine="656"/>
        <w:spacing w:after="0" w:line="218" w:lineRule="auto"/>
        <w:tabs>
          <w:tab w:leader="none" w:pos="124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At the request of the Administrative Agent, each Secured Party shall provide the Administrative Agent with a separate written power of attorney (</w:t>
      </w:r>
      <w:r>
        <w:rPr>
          <w:rFonts w:ascii="Arial" w:cs="Arial" w:eastAsia="Arial" w:hAnsi="Arial"/>
          <w:sz w:val="22"/>
          <w:szCs w:val="22"/>
          <w:i w:val="1"/>
          <w:iCs w:val="1"/>
          <w:color w:val="auto"/>
        </w:rPr>
        <w:t>Spezialvollmacht</w:t>
      </w:r>
      <w:r>
        <w:rPr>
          <w:rFonts w:ascii="Arial" w:cs="Arial" w:eastAsia="Arial" w:hAnsi="Arial"/>
          <w:sz w:val="22"/>
          <w:szCs w:val="22"/>
          <w:color w:val="auto"/>
        </w:rPr>
        <w:t>) for the purposes of executing any relevant agreements and documents on their behalf. Each Secured Party hereby ratifies and approves all acts previously done by the Administrative Agent on such Secured Party’s behalf.</w:t>
      </w:r>
    </w:p>
    <w:p>
      <w:pPr>
        <w:spacing w:after="0" w:line="160" w:lineRule="exact"/>
        <w:rPr>
          <w:rFonts w:ascii="Arial" w:cs="Arial" w:eastAsia="Arial" w:hAnsi="Arial"/>
          <w:sz w:val="22"/>
          <w:szCs w:val="22"/>
          <w:color w:val="auto"/>
        </w:rPr>
      </w:pPr>
    </w:p>
    <w:p>
      <w:pPr>
        <w:jc w:val="both"/>
        <w:ind w:firstLine="656"/>
        <w:spacing w:after="0" w:line="252" w:lineRule="auto"/>
        <w:tabs>
          <w:tab w:leader="none" w:pos="114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Administrative Agent accepts its appointment as agent and administrator of the German Security on the terms and subject to the conditions set out in this Agreement and the Secured Parties (other than the Administrative Agent), the Administrative Agent and all other parties to this Agreement agree that, in relation to the German Security, no Secured Party (other than the Administrative Agent) shall exercise any independent power to enforce any German Security or take any other action in relation to the enforcement of the German Security, or make or receive any declarations in relation thereto.</w:t>
      </w:r>
    </w:p>
    <w:p>
      <w:pPr>
        <w:spacing w:after="0" w:line="148" w:lineRule="exact"/>
        <w:rPr>
          <w:rFonts w:ascii="Arial" w:cs="Arial" w:eastAsia="Arial" w:hAnsi="Arial"/>
          <w:sz w:val="19"/>
          <w:szCs w:val="19"/>
          <w:color w:val="auto"/>
        </w:rPr>
      </w:pPr>
    </w:p>
    <w:p>
      <w:pPr>
        <w:jc w:val="both"/>
        <w:ind w:firstLine="656"/>
        <w:spacing w:after="0" w:line="212" w:lineRule="auto"/>
        <w:tabs>
          <w:tab w:leader="none" w:pos="115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Each Secured Party (other than the Administrative Agent) hereby instructs the Administrative Agent (with the right of sub-delegation and the right to release the sub-delegates from the restrictions of such Section 181 of the German Civil Code (</w:t>
      </w:r>
      <w:r>
        <w:rPr>
          <w:rFonts w:ascii="Arial" w:cs="Arial" w:eastAsia="Arial" w:hAnsi="Arial"/>
          <w:sz w:val="22"/>
          <w:szCs w:val="22"/>
          <w:i w:val="1"/>
          <w:iCs w:val="1"/>
          <w:color w:val="auto"/>
        </w:rPr>
        <w:t>Bürgerliches Gesetzbuch</w:t>
      </w:r>
      <w:r>
        <w:rPr>
          <w:rFonts w:ascii="Arial" w:cs="Arial" w:eastAsia="Arial" w:hAnsi="Arial"/>
          <w:sz w:val="22"/>
          <w:szCs w:val="22"/>
          <w:color w:val="auto"/>
        </w:rPr>
        <w:t>) and similar restrictions applicable to it pursuant to any other applicable law) to enter into any documents evidencing German Security and to make and accept all declarations and take all actions it considers necessary or useful in connection with any German Security on behalf of such Secured Party (other than the Administrative Agent). The Administrative Agent shall further be entitled to rescind, release, amend and/or execute new and different documents representing/relating to the German Security.</w:t>
      </w:r>
    </w:p>
    <w:p>
      <w:pPr>
        <w:spacing w:after="0" w:line="163" w:lineRule="exact"/>
        <w:rPr>
          <w:rFonts w:ascii="Arial" w:cs="Arial" w:eastAsia="Arial" w:hAnsi="Arial"/>
          <w:sz w:val="22"/>
          <w:szCs w:val="22"/>
          <w:color w:val="auto"/>
        </w:rPr>
      </w:pPr>
    </w:p>
    <w:p>
      <w:pPr>
        <w:jc w:val="both"/>
        <w:ind w:firstLine="656"/>
        <w:spacing w:after="0" w:line="224" w:lineRule="auto"/>
        <w:tabs>
          <w:tab w:leader="none" w:pos="1124" w:val="left"/>
        </w:tabs>
        <w:numPr>
          <w:ilvl w:val="0"/>
          <w:numId w:val="176"/>
        </w:numPr>
        <w:rPr>
          <w:rFonts w:ascii="Arial" w:cs="Arial" w:eastAsia="Arial" w:hAnsi="Arial"/>
          <w:sz w:val="21"/>
          <w:szCs w:val="21"/>
          <w:color w:val="auto"/>
        </w:rPr>
      </w:pPr>
      <w:r>
        <w:rPr>
          <w:rFonts w:ascii="Arial" w:cs="Arial" w:eastAsia="Arial" w:hAnsi="Arial"/>
          <w:sz w:val="21"/>
          <w:szCs w:val="21"/>
          <w:color w:val="auto"/>
        </w:rPr>
        <w:t>If and to the extent that the Administrative Agent has already made any statements or declarations or taken any other actions (including, but not limited to, the granting of sub-powers of attorney (including any indemnifications, waivers and consents on behalf of each Secured Party as reasonably agreed upon by the Administrative Agent) and the release of any sub-representatives from the restrictions of Section 181 of the German Civil Code (</w:t>
      </w:r>
      <w:r>
        <w:rPr>
          <w:rFonts w:ascii="Arial" w:cs="Arial" w:eastAsia="Arial" w:hAnsi="Arial"/>
          <w:sz w:val="21"/>
          <w:szCs w:val="21"/>
          <w:i w:val="1"/>
          <w:iCs w:val="1"/>
          <w:color w:val="auto"/>
        </w:rPr>
        <w:t>Bürgerliches Gesetzbuch</w:t>
      </w:r>
      <w:r>
        <w:rPr>
          <w:rFonts w:ascii="Arial" w:cs="Arial" w:eastAsia="Arial" w:hAnsi="Arial"/>
          <w:sz w:val="21"/>
          <w:szCs w:val="21"/>
          <w:color w:val="auto"/>
        </w:rPr>
        <w:t xml:space="preserve">) and similar restrictions applicable to it pursuant to any other applicable law) which fall within the scope of this </w:t>
      </w:r>
      <w:r>
        <w:rPr>
          <w:rFonts w:ascii="Arial" w:cs="Arial" w:eastAsia="Arial" w:hAnsi="Arial"/>
          <w:sz w:val="21"/>
          <w:szCs w:val="21"/>
          <w:u w:val="single" w:color="auto"/>
          <w:color w:val="auto"/>
        </w:rPr>
        <w:t>Section 8.12</w:t>
      </w:r>
      <w:r>
        <w:rPr>
          <w:rFonts w:ascii="Arial" w:cs="Arial" w:eastAsia="Arial" w:hAnsi="Arial"/>
          <w:sz w:val="21"/>
          <w:szCs w:val="21"/>
          <w:color w:val="auto"/>
        </w:rPr>
        <w:t>, such statements, declarations and actions are hereby ratified and approved (</w:t>
      </w:r>
      <w:r>
        <w:rPr>
          <w:rFonts w:ascii="Arial" w:cs="Arial" w:eastAsia="Arial" w:hAnsi="Arial"/>
          <w:sz w:val="21"/>
          <w:szCs w:val="21"/>
          <w:i w:val="1"/>
          <w:iCs w:val="1"/>
          <w:color w:val="auto"/>
        </w:rPr>
        <w:t>genehmigt</w:t>
      </w:r>
      <w:r>
        <w:rPr>
          <w:rFonts w:ascii="Arial" w:cs="Arial" w:eastAsia="Arial" w:hAnsi="Arial"/>
          <w:sz w:val="21"/>
          <w:szCs w:val="21"/>
          <w:color w:val="auto"/>
        </w:rPr>
        <w:t>).</w:t>
      </w:r>
    </w:p>
    <w:p>
      <w:pPr>
        <w:spacing w:after="0" w:line="14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9</w:t>
      </w:r>
    </w:p>
    <w:p>
      <w:pPr>
        <w:ind w:left="5000"/>
        <w:spacing w:after="0"/>
        <w:rPr>
          <w:sz w:val="20"/>
          <w:szCs w:val="20"/>
          <w:color w:val="auto"/>
        </w:rPr>
      </w:pPr>
      <w:r>
        <w:rPr>
          <w:rFonts w:ascii="Arial" w:cs="Arial" w:eastAsia="Arial" w:hAnsi="Arial"/>
          <w:sz w:val="22"/>
          <w:szCs w:val="22"/>
          <w:b w:val="1"/>
          <w:bCs w:val="1"/>
          <w:color w:val="auto"/>
        </w:rPr>
        <w:t>GUARANTY</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u w:val="single" w:color="auto"/>
          <w:color w:val="auto"/>
        </w:rPr>
        <w:t>Guaranty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6" w:lineRule="auto"/>
        <w:tabs>
          <w:tab w:leader="none" w:pos="11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Each Guarantor hereby irrevocably and unconditionally guarantees, jointly with the other Guarantors and severally, as a primary obligor and not merely as a surety, the Obligations of the Borrower. Each Guarantor further agrees that the due and punctual payment of the Obligations of the Borrower may be extended or renewed, in whole or in part, without notice to or further assent from it, and that it will remain bound upon its guarantee hereunder notwithstanding any such extension or renewal of any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01" w:right="339" w:bottom="1440" w:gutter="0" w:footer="0" w:header="0"/>
        </w:sectPr>
      </w:pPr>
    </w:p>
    <w:bookmarkStart w:id="206" w:name="page207"/>
    <w:bookmarkEnd w:id="206"/>
    <w:p>
      <w:pPr>
        <w:jc w:val="both"/>
        <w:ind w:firstLine="656"/>
        <w:spacing w:after="0" w:line="242" w:lineRule="auto"/>
        <w:tabs>
          <w:tab w:leader="none" w:pos="1195"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To the maximum extent permitted by applicable law, each Guarantor waives presentment to, demand of payment from and protest to the Borrower of any of the Obligations, and also waives notice of acceptance of its obligations and notice of protest for nonpayment. The obligations of each Guarantor hereunder shall not be affected by (i) the failure of any Lender to assert any claim or demand or to enforce any right or remedy against the Borrower under the provisions of this Agreement, any other Loan Document or otherwise; (ii) any extension or renewal of any of the Obligations; (iii) any rescission, waiver, amendment or modification of, or release from, any of the terms or provisions of this Agreement or any other Loan Document or other agreement; (iv) the failure or delay of any Lender to exercise any right or remedy against any other guarantor of the Obligations; (v) the failure of any Lender to assert any claim or demand or to enforce any remedy under any Loan Document or any other agreement or instrument; (vi) any default, failure or delay, willful or otherwise, in the performance of the Obligations; or (vii) any other act, omission or delay to do any other act which may or might in any manner or to any extent vary the risk of such Guarantor or otherwise operate as a discharge of such Guarantor as a matter of law or equity or which would impair or eliminate any right of any Guarantor to subrogation (other than payment in full of the Obligations (excluding contingent obligations as to which no claim has been made) or release pursuant to </w:t>
      </w:r>
      <w:r>
        <w:rPr>
          <w:rFonts w:ascii="Arial" w:cs="Arial" w:eastAsia="Arial" w:hAnsi="Arial"/>
          <w:sz w:val="19"/>
          <w:szCs w:val="19"/>
          <w:u w:val="single" w:color="auto"/>
          <w:color w:val="auto"/>
        </w:rPr>
        <w:t>Section 10.17</w:t>
      </w:r>
      <w:r>
        <w:rPr>
          <w:rFonts w:ascii="Arial" w:cs="Arial" w:eastAsia="Arial" w:hAnsi="Arial"/>
          <w:sz w:val="19"/>
          <w:szCs w:val="19"/>
          <w:color w:val="auto"/>
        </w:rPr>
        <w:t>).</w:t>
      </w:r>
    </w:p>
    <w:p>
      <w:pPr>
        <w:spacing w:after="0" w:line="380" w:lineRule="exact"/>
        <w:rPr>
          <w:rFonts w:ascii="Arial" w:cs="Arial" w:eastAsia="Arial" w:hAnsi="Arial"/>
          <w:sz w:val="19"/>
          <w:szCs w:val="19"/>
          <w:color w:val="auto"/>
        </w:rPr>
      </w:pPr>
    </w:p>
    <w:p>
      <w:pPr>
        <w:jc w:val="both"/>
        <w:ind w:firstLine="656"/>
        <w:spacing w:after="0" w:line="216" w:lineRule="auto"/>
        <w:tabs>
          <w:tab w:leader="none" w:pos="114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Guarantor further agrees that its guarantee hereunder constitutes a promise of payment when due (whether or not any bankruptcy or similar proceeding shall have stayed the accrual or collection of any of the Obligations or operated as a discharge thereof) and not merely of collection, and waives any right to require that any resort be had by any Lender or any Issuing Bank to any balance of any deposit account or credit on the books of any Lender or any Issuing Bank in favor of the Borrower or any Subsidiary or any other Person.</w:t>
      </w:r>
    </w:p>
    <w:p>
      <w:pPr>
        <w:spacing w:after="0" w:line="157" w:lineRule="exact"/>
        <w:rPr>
          <w:rFonts w:ascii="Arial" w:cs="Arial" w:eastAsia="Arial" w:hAnsi="Arial"/>
          <w:sz w:val="22"/>
          <w:szCs w:val="22"/>
          <w:color w:val="auto"/>
        </w:rPr>
      </w:pPr>
    </w:p>
    <w:p>
      <w:pPr>
        <w:jc w:val="both"/>
        <w:ind w:firstLine="656"/>
        <w:spacing w:after="0" w:line="252" w:lineRule="auto"/>
        <w:tabs>
          <w:tab w:leader="none" w:pos="124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Except for the release or termination of a Guarantor’s obligations hereunder as provided in </w:t>
      </w:r>
      <w:r>
        <w:rPr>
          <w:rFonts w:ascii="Arial" w:cs="Arial" w:eastAsia="Arial" w:hAnsi="Arial"/>
          <w:sz w:val="19"/>
          <w:szCs w:val="19"/>
          <w:u w:val="single" w:color="auto"/>
          <w:color w:val="auto"/>
        </w:rPr>
        <w:t>Section 10.17</w:t>
      </w:r>
      <w:r>
        <w:rPr>
          <w:rFonts w:ascii="Arial" w:cs="Arial" w:eastAsia="Arial" w:hAnsi="Arial"/>
          <w:sz w:val="19"/>
          <w:szCs w:val="19"/>
          <w:color w:val="auto"/>
        </w:rPr>
        <w:t>, the obligations of each Guarantor hereunder shall not be subject to any reduction, limitation, impairment or termination for any reason other than the payment in full in cash of the Obligations (excluding contingent obligations as to which no claim has been made), and shall not be subject to any defense or setoff, counterclaim, recoupment or termination whatsoever, by reason of the invalidity, illegality or unenforceability of the Obligations, any impossibility in the performance of the Obligations or otherwise.</w:t>
      </w:r>
    </w:p>
    <w:p>
      <w:pPr>
        <w:spacing w:after="0" w:line="148" w:lineRule="exact"/>
        <w:rPr>
          <w:rFonts w:ascii="Arial" w:cs="Arial" w:eastAsia="Arial" w:hAnsi="Arial"/>
          <w:sz w:val="19"/>
          <w:szCs w:val="19"/>
          <w:color w:val="auto"/>
        </w:rPr>
      </w:pPr>
    </w:p>
    <w:p>
      <w:pPr>
        <w:jc w:val="both"/>
        <w:ind w:firstLine="656"/>
        <w:spacing w:after="0" w:line="223" w:lineRule="auto"/>
        <w:tabs>
          <w:tab w:leader="none" w:pos="1183"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Guarantor further agrees that its obligations hereunder shall continue to be effective or be reinstated, as the case may be, if at any time payment, or any part thereof, of any Obligation is rescinded or must otherwise be restored by any Lender upon the bankruptcy or reorganization of the Borrower or otherwise.</w:t>
      </w:r>
    </w:p>
    <w:p>
      <w:pPr>
        <w:spacing w:after="0" w:line="158" w:lineRule="exact"/>
        <w:rPr>
          <w:rFonts w:ascii="Arial" w:cs="Arial" w:eastAsia="Arial" w:hAnsi="Arial"/>
          <w:sz w:val="22"/>
          <w:szCs w:val="22"/>
          <w:color w:val="auto"/>
        </w:rPr>
      </w:pPr>
    </w:p>
    <w:p>
      <w:pPr>
        <w:jc w:val="both"/>
        <w:ind w:firstLine="656"/>
        <w:spacing w:after="0" w:line="252" w:lineRule="auto"/>
        <w:tabs>
          <w:tab w:leader="none" w:pos="117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In furtherance of the foregoing and not in limitation of any other right which any Lender may have at law or in equity against any Guarantor by virtue hereof, upon the failure of the Borrower to pay any Obligation when and as the same shall become due, whether at maturity, by acceleration, after notice of prepayment or otherwise, each Guarantor hereby promises to and will, upon receipt of written demand by the Administrative Agent, forthwith pay, or cause to be paid, to the Administrative Agent for distribution to the applicable Lenders in cash an amount equal to the unpaid principal amount of such Obligation.</w:t>
      </w:r>
    </w:p>
    <w:p>
      <w:pPr>
        <w:spacing w:after="0" w:line="148" w:lineRule="exact"/>
        <w:rPr>
          <w:rFonts w:ascii="Arial" w:cs="Arial" w:eastAsia="Arial" w:hAnsi="Arial"/>
          <w:sz w:val="19"/>
          <w:szCs w:val="19"/>
          <w:color w:val="auto"/>
        </w:rPr>
      </w:pPr>
    </w:p>
    <w:p>
      <w:pPr>
        <w:jc w:val="both"/>
        <w:ind w:firstLine="656"/>
        <w:spacing w:after="0" w:line="268" w:lineRule="auto"/>
        <w:tabs>
          <w:tab w:leader="none" w:pos="119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each Guarantor shall be liable under this Agreement only for amounts aggregating up to the largest amount that would not render its obligations hereunder subject to avoidance under Section 548 of the United States Bankruptcy Code or any comparable provision of any other applicable law.</w:t>
      </w:r>
    </w:p>
    <w:p>
      <w:pPr>
        <w:spacing w:after="0" w:line="132" w:lineRule="exact"/>
        <w:rPr>
          <w:rFonts w:ascii="Arial" w:cs="Arial" w:eastAsia="Arial" w:hAnsi="Arial"/>
          <w:sz w:val="19"/>
          <w:szCs w:val="19"/>
          <w:color w:val="auto"/>
        </w:rPr>
      </w:pPr>
    </w:p>
    <w:p>
      <w:pPr>
        <w:ind w:firstLine="656"/>
        <w:spacing w:after="0" w:line="232" w:lineRule="auto"/>
        <w:tabs>
          <w:tab w:leader="none" w:pos="113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Upon payment in full by any Guarantor of any Obligation of the Borrower, each Lender and Issuing Bank shall, in a reasonable manner, assign to such Guarantor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01" w:right="339" w:bottom="1440" w:gutter="0" w:footer="0" w:header="0"/>
        </w:sectPr>
      </w:pPr>
    </w:p>
    <w:bookmarkStart w:id="207" w:name="page208"/>
    <w:bookmarkEnd w:id="207"/>
    <w:p>
      <w:pPr>
        <w:jc w:val="both"/>
        <w:spacing w:after="0" w:line="246" w:lineRule="auto"/>
        <w:rPr>
          <w:sz w:val="20"/>
          <w:szCs w:val="20"/>
          <w:color w:val="auto"/>
        </w:rPr>
      </w:pPr>
      <w:r>
        <w:rPr>
          <w:rFonts w:ascii="Arial" w:cs="Arial" w:eastAsia="Arial" w:hAnsi="Arial"/>
          <w:sz w:val="19"/>
          <w:szCs w:val="19"/>
          <w:color w:val="auto"/>
        </w:rPr>
        <w:t xml:space="preserve">such Obligation owed to such Lender or Issuing Bank and so paid, such assignment to be </w:t>
      </w:r>
      <w:r>
        <w:rPr>
          <w:rFonts w:ascii="Arial" w:cs="Arial" w:eastAsia="Arial" w:hAnsi="Arial"/>
          <w:sz w:val="19"/>
          <w:szCs w:val="19"/>
          <w:i w:val="1"/>
          <w:iCs w:val="1"/>
          <w:color w:val="auto"/>
        </w:rPr>
        <w:t>pro tanto</w:t>
      </w:r>
      <w:r>
        <w:rPr>
          <w:rFonts w:ascii="Arial" w:cs="Arial" w:eastAsia="Arial" w:hAnsi="Arial"/>
          <w:sz w:val="19"/>
          <w:szCs w:val="19"/>
          <w:color w:val="auto"/>
        </w:rPr>
        <w:t xml:space="preserve"> to the extent to which the Obligation in question was discharged by such Guarantor, or make such disposition thereof as such Guarantor shall direct (all without recourse to any Lender or Issuing Bank and without any representation or warranty by any Lender or Issuing Bank). Upon payment by any Guarantor of any sums as provided above, all rights of such Guarantor against the Borrower arising as a result thereof by way of right of subrogation or otherwise shall in all respects be subordinated and junior in right of payment to the prior payment in full of all the Obligations owed by the Borrower to the Lenders and Issuing Banks (it being understood that, after the discharge of all the Obligations due and payable from the Borrower, such rights may be exercised by such Guarantor notwithstanding that the Borrower may remain contingently liable for indemnity or other Obligations).</w:t>
      </w:r>
    </w:p>
    <w:p>
      <w:pPr>
        <w:spacing w:after="0" w:line="152" w:lineRule="exact"/>
        <w:rPr>
          <w:sz w:val="20"/>
          <w:szCs w:val="20"/>
          <w:color w:val="auto"/>
        </w:rPr>
      </w:pPr>
    </w:p>
    <w:p>
      <w:pPr>
        <w:jc w:val="both"/>
        <w:ind w:firstLine="656"/>
        <w:spacing w:after="0" w:line="241" w:lineRule="auto"/>
        <w:tabs>
          <w:tab w:leader="none" w:pos="130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Each Qualified Keepwell Provider hereby jointly and severally absolutely, unconditionally, and irrevocably undertakes to provide such funds or other support as may be needed from time to time by each other Loan Party to honor all of such Loan Party’s obligations under this guarantee in respect of any obligation to pay or perform under any Swap Agreement (a “</w:t>
      </w:r>
      <w:r>
        <w:rPr>
          <w:rFonts w:ascii="Arial" w:cs="Arial" w:eastAsia="Arial" w:hAnsi="Arial"/>
          <w:sz w:val="19"/>
          <w:szCs w:val="19"/>
          <w:b w:val="1"/>
          <w:bCs w:val="1"/>
          <w:color w:val="auto"/>
        </w:rPr>
        <w:t>Swap Obligation</w:t>
      </w:r>
      <w:r>
        <w:rPr>
          <w:rFonts w:ascii="Arial" w:cs="Arial" w:eastAsia="Arial" w:hAnsi="Arial"/>
          <w:sz w:val="19"/>
          <w:szCs w:val="19"/>
          <w:color w:val="auto"/>
        </w:rPr>
        <w:t xml:space="preserve">”) (provided, however, that each Qualified Keepwell Provider shall only be liable under this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or otherwise under this guarantee, voidable under applicable law relating to fraudulent conveyance or fraudulent transfer, and not for any greater amount). The obligations of each Qualified Keepwell Provider under this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shall remain in full force and effect until termination of this Agreement. A “</w:t>
      </w:r>
      <w:r>
        <w:rPr>
          <w:rFonts w:ascii="Arial" w:cs="Arial" w:eastAsia="Arial" w:hAnsi="Arial"/>
          <w:sz w:val="19"/>
          <w:szCs w:val="19"/>
          <w:b w:val="1"/>
          <w:bCs w:val="1"/>
          <w:color w:val="auto"/>
        </w:rPr>
        <w:t>Qualified Keepwell Provider</w:t>
      </w:r>
      <w:r>
        <w:rPr>
          <w:rFonts w:ascii="Arial" w:cs="Arial" w:eastAsia="Arial" w:hAnsi="Arial"/>
          <w:sz w:val="19"/>
          <w:szCs w:val="19"/>
          <w:color w:val="auto"/>
        </w:rPr>
        <w:t xml:space="preserve">” shall mean,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or guarantee pursuant to Section 1a(18)(A)(v)(II) of the Commodity Exchange Act. Each Qualified Keepwell Provider intends that this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9.01(i)</w:t>
      </w:r>
      <w:r>
        <w:rPr>
          <w:rFonts w:ascii="Arial" w:cs="Arial" w:eastAsia="Arial" w:hAnsi="Arial"/>
          <w:sz w:val="19"/>
          <w:szCs w:val="19"/>
          <w:color w:val="auto"/>
        </w:rPr>
        <w:t xml:space="preserve"> shall be deemed to constitute, a “keepwell, support, or other agreement” for the benefit of each other Loan Party for all purposes of section 1a(18)(A)(v)(II) of the Commodity Exchange Act.</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u w:val="single" w:color="auto"/>
          <w:color w:val="auto"/>
        </w:rPr>
        <w:t>Additional Agreements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2" w:lineRule="auto"/>
        <w:tabs>
          <w:tab w:leader="none" w:pos="110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Until the Commitments have expired or terminated and all Obligations (excluding contingent obligations as to which no claim has been made) have been paid in full and no Letter of Credit shall be outstanding or subject to any pending draw (or otherwise Cash Collateralized or backstopped or deemed reissued under another agreement reasonably acceptable to the applicable Issuing Bank), each Guarantor covenants and agrees with the Administrative Agent for the benefit of the Lenders and Issuing Banks that it will be bound by each of the covenants contained herein to the extent applicable to such Guarantor.</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19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Each Guarantor hereby agrees that upon the occurrence of any Event of Default, any Indebtedness of the Parent, Borrower or any other Guarantor now or hereafter owing to it, whether heretofore, now or hereafter created (the “</w:t>
      </w:r>
      <w:r>
        <w:rPr>
          <w:rFonts w:ascii="Arial" w:cs="Arial" w:eastAsia="Arial" w:hAnsi="Arial"/>
          <w:sz w:val="21"/>
          <w:szCs w:val="21"/>
          <w:b w:val="1"/>
          <w:bCs w:val="1"/>
          <w:color w:val="auto"/>
        </w:rPr>
        <w:t>Guaranty</w:t>
      </w:r>
      <w:r>
        <w:rPr>
          <w:rFonts w:ascii="Arial" w:cs="Arial" w:eastAsia="Arial" w:hAnsi="Arial"/>
          <w:sz w:val="21"/>
          <w:szCs w:val="21"/>
          <w:color w:val="auto"/>
        </w:rPr>
        <w:t xml:space="preserve"> </w:t>
      </w:r>
      <w:r>
        <w:rPr>
          <w:rFonts w:ascii="Arial" w:cs="Arial" w:eastAsia="Arial" w:hAnsi="Arial"/>
          <w:sz w:val="21"/>
          <w:szCs w:val="21"/>
          <w:b w:val="1"/>
          <w:bCs w:val="1"/>
          <w:color w:val="auto"/>
        </w:rPr>
        <w:t>Subordinated Debt</w:t>
      </w:r>
      <w:r>
        <w:rPr>
          <w:rFonts w:ascii="Arial" w:cs="Arial" w:eastAsia="Arial" w:hAnsi="Arial"/>
          <w:sz w:val="21"/>
          <w:szCs w:val="21"/>
          <w:color w:val="auto"/>
        </w:rPr>
        <w:t>”), is hereby subordinated to all of the Obligations under this Agreement and the Notes, and that,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expressly permitted by this Agreement, the Guaranty Subordinated Debt shall not be paid in whole or in part until such Obligations (excluding contingent obligations as to which no claim has been made) have been paid in full and this Agreement is terminated and of no further force or effect. No Guarantor shall accept any payment of or on account of any Guaranty Subordinated Debt at any time in contravention of the foregoing. Upon the occurrence and during the continuance of an Event of Default, the Parent, the Borrower and any other applicable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01" w:right="339" w:bottom="1440" w:gutter="0" w:footer="0" w:header="0"/>
        </w:sectPr>
      </w:pPr>
    </w:p>
    <w:bookmarkStart w:id="208" w:name="page209"/>
    <w:bookmarkEnd w:id="208"/>
    <w:p>
      <w:pPr>
        <w:jc w:val="both"/>
        <w:spacing w:after="0" w:line="241" w:lineRule="auto"/>
        <w:rPr>
          <w:sz w:val="20"/>
          <w:szCs w:val="20"/>
          <w:color w:val="auto"/>
        </w:rPr>
      </w:pPr>
      <w:r>
        <w:rPr>
          <w:rFonts w:ascii="Arial" w:cs="Arial" w:eastAsia="Arial" w:hAnsi="Arial"/>
          <w:sz w:val="19"/>
          <w:szCs w:val="19"/>
          <w:color w:val="auto"/>
        </w:rPr>
        <w:t>shall pay to the Administrative Agent any payment of all or any part of the Guaranty Subordinated Debt and any amount so paid to the Administrative Agent shall be applied to payment of the Obligations under this Agreement and the Notes as provided herein. Each payment on the Guaranty Subordinated Debt received in violation of any of the provisions hereof shall be deemed to have been received by the Guarantors as trustee for the Administrative Agent and the Lenders and shall be paid over to the Administrative Agent immediately on account of the Obligations, but without otherwise affecting in any manner the Guarantors’ liability under this Agreement. Each Guarantor agrees to file all claims against the Parent, the Borrower or any other applicable Guarantor in any bankruptcy or other proceeding in which the filing of claims is required by law in respect of any Guaranty Subordinated Debt, and the Administrative Agent shall be entitled to all of such Guarantor’s rights thereunder. If for any reason any Guarantor fails to file such claim at least ten (10) Business Days prior to the last date on which such claim should be filed, such Guarantor hereby irrevocably appoints the Administrative Agent as its true and lawful attorney-in-fact and is hereby authorized to act as attorney-in-fact in such Guarantor’s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Guarantor hereby assigns to the Administrative Agent all of such Guarantor’s rights to any payments or distributions to which such Guarantor otherwise would be entitled. If the amount so paid is greater than such Guarantor’s liability hereunder, the Administrative Agent shall pay the excess amount to the party entitled thereto.</w:t>
      </w:r>
    </w:p>
    <w:p>
      <w:pPr>
        <w:spacing w:after="0" w:line="37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Information</w:t>
      </w:r>
      <w:r>
        <w:rPr>
          <w:rFonts w:ascii="Arial" w:cs="Arial" w:eastAsia="Arial" w:hAnsi="Arial"/>
          <w:sz w:val="22"/>
          <w:szCs w:val="22"/>
          <w:color w:val="auto"/>
        </w:rPr>
        <w:t>. Each Guarantor assumes all responsibility for being and keeping itself informed of the Borrower’s financial condition and assets, and of all other circumstances bearing upon the risk of nonpayment of the Obligations and the nature, scope and extent of the risks that such Guarantor assumes and incurs hereunder, and agrees that neither the Administrative Agent nor any Lender will have any duty to advise such Guarantor of information known to it or any of them regarding such circumstances or risks.</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Guarantor Notices</w:t>
      </w:r>
      <w:r>
        <w:rPr>
          <w:rFonts w:ascii="Arial" w:cs="Arial" w:eastAsia="Arial" w:hAnsi="Arial"/>
          <w:sz w:val="22"/>
          <w:szCs w:val="22"/>
          <w:color w:val="auto"/>
        </w:rPr>
        <w:t xml:space="preserve">. All communications and notices to any Guarantor shall be given to it in care of the Borrower as provided in </w:t>
      </w:r>
      <w:r>
        <w:rPr>
          <w:rFonts w:ascii="Arial" w:cs="Arial" w:eastAsia="Arial" w:hAnsi="Arial"/>
          <w:sz w:val="22"/>
          <w:szCs w:val="22"/>
          <w:u w:val="single" w:color="auto"/>
          <w:color w:val="auto"/>
        </w:rPr>
        <w:t>Section 10.01</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The Guarantees set forth in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shall terminate when all the Obligations (excluding contingent obligations as to which no claim has been made) have been paid in full and no Letter of Credit shall be outstanding or subject to any pending draw (or otherwise Cash Collateralized or backstopped or deemed reissued under another agreement reasonably acceptable to the applicable Issuing Bank), and the Lenders have no further commitment to lend and the Issuing Banks has no further obligation to issue Letters of Credit.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Right of Set 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by, and other obligations at any time owing by such Lender or Affiliate to or for the credit or the account of any Guarantor against any of and all the obligations of such Guarantor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01" w:right="339" w:bottom="1440" w:gutter="0" w:footer="0" w:header="0"/>
        </w:sectPr>
      </w:pPr>
    </w:p>
    <w:bookmarkStart w:id="209" w:name="page210"/>
    <w:bookmarkEnd w:id="209"/>
    <w:p>
      <w:pPr>
        <w:jc w:val="both"/>
        <w:spacing w:after="0" w:line="216" w:lineRule="auto"/>
        <w:rPr>
          <w:sz w:val="20"/>
          <w:szCs w:val="20"/>
          <w:color w:val="auto"/>
        </w:rPr>
      </w:pPr>
      <w:r>
        <w:rPr>
          <w:rFonts w:ascii="Arial" w:cs="Arial" w:eastAsia="Arial" w:hAnsi="Arial"/>
          <w:sz w:val="22"/>
          <w:szCs w:val="22"/>
          <w:color w:val="auto"/>
        </w:rPr>
        <w:t xml:space="preserve">the Administrative Agent a statement describing in reasonable detail the obligations owing to such Defaulting Lender as to which it exercised such right of setoff. The rights of each Lender under this </w:t>
      </w:r>
      <w:r>
        <w:rPr>
          <w:rFonts w:ascii="Arial" w:cs="Arial" w:eastAsia="Arial" w:hAnsi="Arial"/>
          <w:sz w:val="22"/>
          <w:szCs w:val="22"/>
          <w:u w:val="single" w:color="auto"/>
          <w:color w:val="auto"/>
        </w:rPr>
        <w:t>Section 9.06</w:t>
      </w:r>
      <w:r>
        <w:rPr>
          <w:rFonts w:ascii="Arial" w:cs="Arial" w:eastAsia="Arial" w:hAnsi="Arial"/>
          <w:sz w:val="22"/>
          <w:szCs w:val="22"/>
          <w:color w:val="auto"/>
        </w:rPr>
        <w:t xml:space="preserve"> are in addition to other rights and remedies (including other rights of setoff) which such Lender may have. Each Lender agrees to notify such Guarantor and the Administrative Agent promptly after any such setoff and application;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failure to give such notice shall not affect the validity of such setoff and application.</w:t>
      </w:r>
    </w:p>
    <w:p>
      <w:pPr>
        <w:spacing w:after="0" w:line="15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Additional Guarantors</w:t>
      </w:r>
      <w:r>
        <w:rPr>
          <w:rFonts w:ascii="Arial" w:cs="Arial" w:eastAsia="Arial" w:hAnsi="Arial"/>
          <w:sz w:val="21"/>
          <w:szCs w:val="21"/>
          <w:color w:val="auto"/>
        </w:rPr>
        <w:t xml:space="preserve">. It is understood and agreed that any Subsidiary of the Parent that is required to execute a counterpart of, or joinder to, this Agreement after the date hereof pursuant to </w:t>
      </w:r>
      <w:r>
        <w:rPr>
          <w:rFonts w:ascii="Arial" w:cs="Arial" w:eastAsia="Arial" w:hAnsi="Arial"/>
          <w:sz w:val="21"/>
          <w:szCs w:val="21"/>
          <w:u w:val="single" w:color="auto"/>
          <w:color w:val="auto"/>
        </w:rPr>
        <w:t>Section 5.11</w:t>
      </w:r>
      <w:r>
        <w:rPr>
          <w:rFonts w:ascii="Arial" w:cs="Arial" w:eastAsia="Arial" w:hAnsi="Arial"/>
          <w:sz w:val="21"/>
          <w:szCs w:val="21"/>
          <w:color w:val="auto"/>
        </w:rPr>
        <w:t xml:space="preserve"> shall become a Guarantor hereunder by (x) executing and delivering a guaranty supplement in the form of Exhibit E hereto and delivering the same to the Administrative Agent and (y) taking all actions as specified in this Agreement as would have been taken by such Guarantor had it been an original party to this Agreement, in each case with all documents and actions required to be taken above to be taken to the reasonable satisfaction of the Administrative Agent.</w:t>
      </w:r>
    </w:p>
    <w:p>
      <w:pPr>
        <w:spacing w:after="0" w:line="1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Article 9 Severability</w:t>
      </w:r>
      <w:r>
        <w:rPr>
          <w:rFonts w:ascii="Arial" w:cs="Arial" w:eastAsia="Arial" w:hAnsi="Arial"/>
          <w:sz w:val="19"/>
          <w:szCs w:val="19"/>
          <w:color w:val="auto"/>
        </w:rPr>
        <w:t xml:space="preserve">. In the event any one or more of the provisions contained in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should be held invalid, illegal or unenforceable in any respect, the validity, legality and enforceability of the remaining provisions contained in this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u w:val="single" w:color="auto"/>
          <w:color w:val="auto"/>
        </w:rPr>
        <w:t>Guaranty Limitation of the German Guarantors</w:t>
      </w:r>
      <w:r>
        <w:rPr>
          <w:rFonts w:ascii="Arial" w:cs="Arial" w:eastAsia="Arial" w:hAnsi="Arial"/>
          <w:sz w:val="21"/>
          <w:szCs w:val="21"/>
          <w:color w:val="auto"/>
        </w:rPr>
        <w:t>. (a) Notwithstanding anything to the contrary in this Agreement, the Secured Parties agree not to enforce the guarantee against a Guarantor incorporated in Germany as a limited liability company (GmbH) (a “</w:t>
      </w:r>
      <w:r>
        <w:rPr>
          <w:rFonts w:ascii="Arial" w:cs="Arial" w:eastAsia="Arial" w:hAnsi="Arial"/>
          <w:sz w:val="21"/>
          <w:szCs w:val="21"/>
          <w:b w:val="1"/>
          <w:bCs w:val="1"/>
          <w:color w:val="auto"/>
        </w:rPr>
        <w:t>German GmbH Guarantor</w:t>
      </w:r>
      <w:r>
        <w:rPr>
          <w:rFonts w:ascii="Arial" w:cs="Arial" w:eastAsia="Arial" w:hAnsi="Arial"/>
          <w:sz w:val="21"/>
          <w:szCs w:val="21"/>
          <w:color w:val="auto"/>
        </w:rPr>
        <w:t>”), or as a limited partnership (Kommanditgesell-schaft) with a limited liability company as sole general partner (GmbH &amp; Co. KG) (the “</w:t>
      </w:r>
      <w:r>
        <w:rPr>
          <w:rFonts w:ascii="Arial" w:cs="Arial" w:eastAsia="Arial" w:hAnsi="Arial"/>
          <w:sz w:val="21"/>
          <w:szCs w:val="21"/>
          <w:b w:val="1"/>
          <w:bCs w:val="1"/>
          <w:color w:val="auto"/>
        </w:rPr>
        <w:t>German GmbH &amp; Co. KG Guarantor</w:t>
      </w:r>
      <w:r>
        <w:rPr>
          <w:rFonts w:ascii="Arial" w:cs="Arial" w:eastAsia="Arial" w:hAnsi="Arial"/>
          <w:sz w:val="21"/>
          <w:szCs w:val="21"/>
          <w:color w:val="auto"/>
        </w:rPr>
        <w:t>”, together with any German GmbH Guarantor hereinafter referred to as a “</w:t>
      </w:r>
      <w:r>
        <w:rPr>
          <w:rFonts w:ascii="Arial" w:cs="Arial" w:eastAsia="Arial" w:hAnsi="Arial"/>
          <w:sz w:val="21"/>
          <w:szCs w:val="21"/>
          <w:b w:val="1"/>
          <w:bCs w:val="1"/>
          <w:color w:val="auto"/>
        </w:rPr>
        <w:t>German Guarantor</w:t>
      </w:r>
      <w:r>
        <w:rPr>
          <w:rFonts w:ascii="Arial" w:cs="Arial" w:eastAsia="Arial" w:hAnsi="Arial"/>
          <w:sz w:val="21"/>
          <w:szCs w:val="21"/>
          <w:color w:val="auto"/>
        </w:rPr>
        <w:t>”) if and to the extent that such Guarantee secures liabilities of direct or indirect shareholders of the German Guarantor or Subsidiaries of such shareholders (other than the German Guarantor’s Subsidiaries) and if and to the extent that such enforcement would:</w:t>
      </w:r>
    </w:p>
    <w:p>
      <w:pPr>
        <w:spacing w:after="0" w:line="158" w:lineRule="exact"/>
        <w:rPr>
          <w:sz w:val="20"/>
          <w:szCs w:val="20"/>
          <w:color w:val="auto"/>
        </w:rPr>
      </w:pPr>
    </w:p>
    <w:p>
      <w:pPr>
        <w:ind w:firstLine="1304"/>
        <w:spacing w:after="0" w:line="235" w:lineRule="auto"/>
        <w:tabs>
          <w:tab w:leader="none" w:pos="1817" w:val="left"/>
        </w:tabs>
        <w:numPr>
          <w:ilvl w:val="1"/>
          <w:numId w:val="181"/>
        </w:numPr>
        <w:rPr>
          <w:rFonts w:ascii="Arial" w:cs="Arial" w:eastAsia="Arial" w:hAnsi="Arial"/>
          <w:sz w:val="22"/>
          <w:szCs w:val="22"/>
          <w:color w:val="auto"/>
        </w:rPr>
      </w:pPr>
      <w:r>
        <w:rPr>
          <w:rFonts w:ascii="Arial" w:cs="Arial" w:eastAsia="Arial" w:hAnsi="Arial"/>
          <w:sz w:val="22"/>
          <w:szCs w:val="22"/>
          <w:color w:val="auto"/>
        </w:rPr>
        <w:t>reduce the German Guarantor’s net assets (Nettovermögen) (the “</w:t>
      </w:r>
      <w:r>
        <w:rPr>
          <w:rFonts w:ascii="Arial" w:cs="Arial" w:eastAsia="Arial" w:hAnsi="Arial"/>
          <w:sz w:val="22"/>
          <w:szCs w:val="22"/>
          <w:b w:val="1"/>
          <w:bCs w:val="1"/>
          <w:color w:val="auto"/>
        </w:rPr>
        <w:t>Net Assets</w:t>
      </w:r>
      <w:r>
        <w:rPr>
          <w:rFonts w:ascii="Arial" w:cs="Arial" w:eastAsia="Arial" w:hAnsi="Arial"/>
          <w:sz w:val="22"/>
          <w:szCs w:val="22"/>
          <w:color w:val="auto"/>
        </w:rPr>
        <w:t>”) to an amount less than its stated share capital (Stammkapital), or</w:t>
      </w:r>
    </w:p>
    <w:p>
      <w:pPr>
        <w:spacing w:after="0" w:line="158" w:lineRule="exact"/>
        <w:rPr>
          <w:rFonts w:ascii="Arial" w:cs="Arial" w:eastAsia="Arial" w:hAnsi="Arial"/>
          <w:sz w:val="22"/>
          <w:szCs w:val="22"/>
          <w:color w:val="auto"/>
        </w:rPr>
      </w:pPr>
    </w:p>
    <w:p>
      <w:pPr>
        <w:ind w:left="1780" w:hanging="476"/>
        <w:spacing w:after="0"/>
        <w:tabs>
          <w:tab w:leader="none" w:pos="17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(if its Net Assets are already lower than its stated share capital) cause such amount to be further reduced,</w:t>
      </w:r>
    </w:p>
    <w:p>
      <w:pPr>
        <w:spacing w:after="0" w:line="213" w:lineRule="exact"/>
        <w:rPr>
          <w:rFonts w:ascii="Arial" w:cs="Arial" w:eastAsia="Arial" w:hAnsi="Arial"/>
          <w:sz w:val="19"/>
          <w:szCs w:val="19"/>
          <w:color w:val="auto"/>
        </w:rPr>
      </w:pPr>
    </w:p>
    <w:p>
      <w:pPr>
        <w:jc w:val="both"/>
        <w:ind w:firstLine="1304"/>
        <w:spacing w:after="0" w:line="223" w:lineRule="auto"/>
        <w:tabs>
          <w:tab w:leader="none" w:pos="200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and thereby lead to the situation in which the German Guarantor’s assets which are required for the preservation of its stated share capital according to sections 30, 31 of the German Limited Liability Companies Act (GmbHG) are affected (each a “</w:t>
      </w:r>
      <w:r>
        <w:rPr>
          <w:rFonts w:ascii="Arial" w:cs="Arial" w:eastAsia="Arial" w:hAnsi="Arial"/>
          <w:sz w:val="22"/>
          <w:szCs w:val="22"/>
          <w:b w:val="1"/>
          <w:bCs w:val="1"/>
          <w:color w:val="auto"/>
        </w:rPr>
        <w:t>Limitation Event</w:t>
      </w:r>
      <w:r>
        <w:rPr>
          <w:rFonts w:ascii="Arial" w:cs="Arial" w:eastAsia="Arial" w:hAnsi="Arial"/>
          <w:sz w:val="22"/>
          <w:szCs w:val="22"/>
          <w:color w:val="auto"/>
        </w:rPr>
        <w:t>” or a “</w:t>
      </w:r>
      <w:r>
        <w:rPr>
          <w:rFonts w:ascii="Arial" w:cs="Arial" w:eastAsia="Arial" w:hAnsi="Arial"/>
          <w:sz w:val="22"/>
          <w:szCs w:val="22"/>
          <w:b w:val="1"/>
          <w:bCs w:val="1"/>
          <w:color w:val="auto"/>
        </w:rPr>
        <w:t>Capital Impairment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49" w:lineRule="auto"/>
        <w:tabs>
          <w:tab w:leader="none" w:pos="112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value of the Net Assets shall only take into account the sum of the values of the assets of the German Guarantor that are equivalent to those items listed in section 266 subsection (2) A, B, C, D and E of the German Commercial Code (Handelsgesetzbuch) less the German Guarantor’s liabilities (the calculation of which shall only take into account the items listed in accordance with section 266 subsection (3) B, C (but, for the avoidance of doubt, disregarding any guarantee obligations to the extent that this is required in order to avoid a “double counting” of the effect of the actual enforcement of the Guarantee on the balance sheet of the German Guarantor for purposes of this paragraph (b)), D and E of the German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01" w:right="339" w:bottom="1440" w:gutter="0" w:footer="0" w:header="0"/>
        </w:sectPr>
      </w:pPr>
    </w:p>
    <w:bookmarkStart w:id="210" w:name="page211"/>
    <w:bookmarkEnd w:id="210"/>
    <w:p>
      <w:pPr>
        <w:jc w:val="both"/>
        <w:spacing w:after="0" w:line="223" w:lineRule="auto"/>
        <w:rPr>
          <w:sz w:val="20"/>
          <w:szCs w:val="20"/>
          <w:color w:val="auto"/>
        </w:rPr>
      </w:pPr>
      <w:r>
        <w:rPr>
          <w:rFonts w:ascii="Arial" w:cs="Arial" w:eastAsia="Arial" w:hAnsi="Arial"/>
          <w:sz w:val="22"/>
          <w:szCs w:val="22"/>
          <w:color w:val="auto"/>
        </w:rPr>
        <w:t>Commercial Code (Handelsgesetzbuch)), in each case in accordance with the accounting principles consistently applied by the German Guarantor. For the purposes of the calculation of the Net Assets the following balance sheet items shall be adjusted as follows:</w:t>
      </w:r>
    </w:p>
    <w:p>
      <w:pPr>
        <w:spacing w:after="0" w:line="159" w:lineRule="exact"/>
        <w:rPr>
          <w:sz w:val="20"/>
          <w:szCs w:val="20"/>
          <w:color w:val="auto"/>
        </w:rPr>
      </w:pPr>
    </w:p>
    <w:p>
      <w:pPr>
        <w:jc w:val="both"/>
        <w:ind w:firstLine="1304"/>
        <w:spacing w:after="0" w:line="218" w:lineRule="auto"/>
        <w:tabs>
          <w:tab w:leader="none" w:pos="1818"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amount of any increase of the stated share capital after the date of this Agreement (aa) that has been effected without the prior written consent of the Administrative Agent (acting on behalf of the Required Lenders) and (bb) that has been effected out of retained earnings (Kapitalerhöhung aus Gesellschaftsmitteln) shall be deducted from the stated share capital;</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821" w:val="left"/>
        </w:tabs>
        <w:numPr>
          <w:ilvl w:val="1"/>
          <w:numId w:val="183"/>
        </w:numPr>
        <w:rPr>
          <w:rFonts w:ascii="Arial" w:cs="Arial" w:eastAsia="Arial" w:hAnsi="Arial"/>
          <w:sz w:val="22"/>
          <w:szCs w:val="22"/>
          <w:color w:val="auto"/>
        </w:rPr>
      </w:pPr>
      <w:r>
        <w:rPr>
          <w:rFonts w:ascii="Arial" w:cs="Arial" w:eastAsia="Arial" w:hAnsi="Arial"/>
          <w:sz w:val="22"/>
          <w:szCs w:val="22"/>
          <w:color w:val="auto"/>
        </w:rPr>
        <w:t>in case the registered share capital of the German Guarantor is not fully paid up (nicht voll eingezahlt), the amount which is not paid up shall be deducted from the relevant registered share capital (Stammkapital) to the extent that the not fully paid up amount is not shown as an asset in the balance sheet;</w:t>
      </w:r>
    </w:p>
    <w:p>
      <w:pPr>
        <w:spacing w:after="0" w:line="158" w:lineRule="exact"/>
        <w:rPr>
          <w:rFonts w:ascii="Arial" w:cs="Arial" w:eastAsia="Arial" w:hAnsi="Arial"/>
          <w:sz w:val="22"/>
          <w:szCs w:val="22"/>
          <w:color w:val="auto"/>
        </w:rPr>
      </w:pPr>
    </w:p>
    <w:p>
      <w:pPr>
        <w:ind w:firstLine="1304"/>
        <w:spacing w:after="0" w:line="232" w:lineRule="auto"/>
        <w:tabs>
          <w:tab w:leader="none" w:pos="1968"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amount of any loans and other contractual liabilities incurred in violation of the provisions of this Agreement shall be deducted from the company’s liabilities;</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08" w:val="left"/>
        </w:tabs>
        <w:numPr>
          <w:ilvl w:val="1"/>
          <w:numId w:val="183"/>
        </w:numPr>
        <w:rPr>
          <w:rFonts w:ascii="Arial" w:cs="Arial" w:eastAsia="Arial" w:hAnsi="Arial"/>
          <w:sz w:val="22"/>
          <w:szCs w:val="22"/>
          <w:color w:val="auto"/>
        </w:rPr>
      </w:pPr>
      <w:r>
        <w:rPr>
          <w:rFonts w:ascii="Arial" w:cs="Arial" w:eastAsia="Arial" w:hAnsi="Arial"/>
          <w:sz w:val="22"/>
          <w:szCs w:val="22"/>
          <w:color w:val="auto"/>
        </w:rPr>
        <w:t>loans provided to the German Guarantor vis-à-vis any member of the Group or a Holding Company and other liabilities shall be disregarded to the extent such loans are, or would be, subordinated (including, for the avoidance of doubt, pursuant to section 39 subsection 1, no. 5 and/or subsection 2 of the German Insolvency Code (InsO)) to any financial indebtedness outstanding under this Agreement (including indebtedness in respect of guarantees for financial indebtedness which is so subordinated); and</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799"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any amounts not available for distributions to the shareholders of the German Guarantor in accordance with sections 268(8) and 253(6) of the German Commercial Code (Handelsgesetzbuch) shall be deducted when calculating the amount of the Net Assets of the German Guarantor.</w:t>
      </w:r>
    </w:p>
    <w:p>
      <w:pPr>
        <w:spacing w:after="0" w:line="158" w:lineRule="exact"/>
        <w:rPr>
          <w:rFonts w:ascii="Arial" w:cs="Arial" w:eastAsia="Arial" w:hAnsi="Arial"/>
          <w:sz w:val="22"/>
          <w:szCs w:val="22"/>
          <w:color w:val="auto"/>
        </w:rPr>
      </w:pPr>
    </w:p>
    <w:p>
      <w:pPr>
        <w:jc w:val="both"/>
        <w:ind w:firstLine="656"/>
        <w:spacing w:after="0" w:line="242" w:lineRule="auto"/>
        <w:tabs>
          <w:tab w:leader="none" w:pos="1151"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In addition, in the event of enforcement of the Guarantee, the German Guarantor shall, within three months after a written request of the Administrative Agent, realize (including, if appropriate, by sale-and-lease-back), to the extent legally permitted any and all of its assets that are shown in the balance sheet with a book value (Buchwert) that is significantly lower than the market value of the assets if, as a result of the enforcement of the guarantee, a Limitation Event would occur, unless the asset is indispensable for the German Guarantor’s business (betriebsnotwendig). The Parent shall ensure that the person realizing the asset will, prior to such realization, assign its claim for the purchase price or other proceeds from the realisation to the Administrative Agent for security purposes (Sicherungsabtretung). After the expiry of the three-month period, the German Guarantor shall, within three Business Days, (i) notify the Administrative Agent of the amount of the net proceeds obtained from the relevant sale or other disposition by means of which the conversion into cash was effected and (ii) submit to the Administrative Agent an updated Auditors’ Determination (as defined in paragraph (g) below) in relation to the German Guarantor itself, taking into account such proceeds. Any such updated Auditors’ Determination shall supersede that Auditors’ Determination previously applicable for the limitations of the enforcement of the guarantee obligations.</w:t>
      </w:r>
    </w:p>
    <w:p>
      <w:pPr>
        <w:spacing w:after="0" w:line="164" w:lineRule="exact"/>
        <w:rPr>
          <w:rFonts w:ascii="Arial" w:cs="Arial" w:eastAsia="Arial" w:hAnsi="Arial"/>
          <w:sz w:val="19"/>
          <w:szCs w:val="19"/>
          <w:color w:val="auto"/>
        </w:rPr>
      </w:pPr>
    </w:p>
    <w:p>
      <w:pPr>
        <w:jc w:val="both"/>
        <w:ind w:firstLine="656"/>
        <w:spacing w:after="0" w:line="214" w:lineRule="auto"/>
        <w:tabs>
          <w:tab w:leader="none" w:pos="127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If the German Guarantor does not notify the Administrative Agent in writing that a Capital Impairment or a Liquidity Impairment (as defined in paragraph (i) below) would occur (setting out in reasonable detail to what extent a Capital Impairment or a Liquidity Impairment would occur) (the “</w:t>
      </w:r>
      <w:r>
        <w:rPr>
          <w:rFonts w:ascii="Arial" w:cs="Arial" w:eastAsia="Arial" w:hAnsi="Arial"/>
          <w:sz w:val="22"/>
          <w:szCs w:val="22"/>
          <w:b w:val="1"/>
          <w:bCs w:val="1"/>
          <w:color w:val="auto"/>
        </w:rPr>
        <w:t>Management Notification</w:t>
      </w:r>
      <w:r>
        <w:rPr>
          <w:rFonts w:ascii="Arial" w:cs="Arial" w:eastAsia="Arial" w:hAnsi="Arial"/>
          <w:sz w:val="22"/>
          <w:szCs w:val="22"/>
          <w:color w:val="auto"/>
        </w:rPr>
        <w:t>”) within thirty (30) Business Days after the Administrative Agent notified such German Guarantor of its intention to demand payment under the Guarantee, then the restrictions set out in paragraph (a) above shall not apply, provided that the Administrative Agent shall (acting on the instructions of the Required Lenders) in any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01" w:right="339" w:bottom="1440" w:gutter="0" w:footer="0" w:header="0"/>
        </w:sectPr>
      </w:pPr>
    </w:p>
    <w:bookmarkStart w:id="211" w:name="page212"/>
    <w:bookmarkEnd w:id="211"/>
    <w:p>
      <w:pPr>
        <w:spacing w:after="0" w:line="232" w:lineRule="auto"/>
        <w:rPr>
          <w:sz w:val="20"/>
          <w:szCs w:val="20"/>
          <w:color w:val="auto"/>
        </w:rPr>
      </w:pPr>
      <w:r>
        <w:rPr>
          <w:rFonts w:ascii="Arial" w:cs="Arial" w:eastAsia="Arial" w:hAnsi="Arial"/>
          <w:sz w:val="22"/>
          <w:szCs w:val="22"/>
          <w:color w:val="auto"/>
        </w:rPr>
        <w:t>be entitled to enforce the Guarantee for any amounts where such enforcement would, in accordance with the Management Notification, not cause a Capital Impairment or a Liquidity Impairment.</w:t>
      </w:r>
    </w:p>
    <w:p>
      <w:pPr>
        <w:spacing w:after="0" w:line="159" w:lineRule="exact"/>
        <w:rPr>
          <w:sz w:val="20"/>
          <w:szCs w:val="20"/>
          <w:color w:val="auto"/>
        </w:rPr>
      </w:pPr>
    </w:p>
    <w:p>
      <w:pPr>
        <w:jc w:val="both"/>
        <w:ind w:firstLine="656"/>
        <w:spacing w:after="0" w:line="234" w:lineRule="auto"/>
        <w:tabs>
          <w:tab w:leader="none" w:pos="1257" w:val="left"/>
        </w:tabs>
        <w:numPr>
          <w:ilvl w:val="0"/>
          <w:numId w:val="185"/>
        </w:numPr>
        <w:rPr>
          <w:rFonts w:ascii="Arial" w:cs="Arial" w:eastAsia="Arial" w:hAnsi="Arial"/>
          <w:sz w:val="21"/>
          <w:szCs w:val="21"/>
          <w:color w:val="auto"/>
        </w:rPr>
      </w:pPr>
      <w:r>
        <w:rPr>
          <w:rFonts w:ascii="Arial" w:cs="Arial" w:eastAsia="Arial" w:hAnsi="Arial"/>
          <w:sz w:val="21"/>
          <w:szCs w:val="21"/>
          <w:color w:val="auto"/>
        </w:rPr>
        <w:t>Following the Administrative Agent’s receipt of the Management Notification, any further enforcement of the guarantee (i.e. any enforcement to which the Administrative Agent is not already entitled pursuant to paragraph (d) above) shall be excluded pursuant to paragraph (a) above for a period of no more than thirty (30) Business Days only.</w:t>
      </w:r>
    </w:p>
    <w:p>
      <w:pPr>
        <w:spacing w:after="0" w:line="157" w:lineRule="exact"/>
        <w:rPr>
          <w:rFonts w:ascii="Arial" w:cs="Arial" w:eastAsia="Arial" w:hAnsi="Arial"/>
          <w:sz w:val="21"/>
          <w:szCs w:val="21"/>
          <w:color w:val="auto"/>
        </w:rPr>
      </w:pPr>
    </w:p>
    <w:p>
      <w:pPr>
        <w:jc w:val="both"/>
        <w:ind w:firstLine="656"/>
        <w:spacing w:after="0" w:line="216" w:lineRule="auto"/>
        <w:tabs>
          <w:tab w:leader="none" w:pos="115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If the Administrative Agent receives within such thirty (30) Business Day period the Auditors’ Determination, the enforcement of the Guarantee shall be limited, if and to the extent such enforcement would, in accordance with the Auditors’ Determination cause a Limitation Event or a Liquidity Impairment. The balance sheet and determination of the Net Assets shall be prepared in accordance with paragraph (b) above, taking into account the adjustments pursuant to paragraphs (b)(i), (b)(ii), (b) (iii), (b)(iv) and (b)(v) above.</w:t>
      </w:r>
    </w:p>
    <w:p>
      <w:pPr>
        <w:spacing w:after="0" w:line="151" w:lineRule="exact"/>
        <w:rPr>
          <w:rFonts w:ascii="Arial" w:cs="Arial" w:eastAsia="Arial" w:hAnsi="Arial"/>
          <w:sz w:val="22"/>
          <w:szCs w:val="22"/>
          <w:color w:val="auto"/>
        </w:rPr>
      </w:pPr>
    </w:p>
    <w:p>
      <w:pPr>
        <w:jc w:val="both"/>
        <w:ind w:firstLine="656"/>
        <w:spacing w:after="0" w:line="217" w:lineRule="auto"/>
        <w:tabs>
          <w:tab w:leader="none" w:pos="1193"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determination by the auditors (as set forth above, the “</w:t>
      </w:r>
      <w:r>
        <w:rPr>
          <w:rFonts w:ascii="Arial" w:cs="Arial" w:eastAsia="Arial" w:hAnsi="Arial"/>
          <w:sz w:val="22"/>
          <w:szCs w:val="22"/>
          <w:b w:val="1"/>
          <w:bCs w:val="1"/>
          <w:color w:val="auto"/>
        </w:rPr>
        <w:t>Auditors’ Determination</w:t>
      </w:r>
      <w:r>
        <w:rPr>
          <w:rFonts w:ascii="Arial" w:cs="Arial" w:eastAsia="Arial" w:hAnsi="Arial"/>
          <w:sz w:val="22"/>
          <w:szCs w:val="22"/>
          <w:color w:val="auto"/>
        </w:rPr>
        <w:t>”) pertaining to the German Guarantor shall be up to date and in any event such Auditors’ Determination shall have been prepared as of a date not earlier than 15 Business Days prior to the date of the enforcement of the guarantee. Should the German Guarantor fail to deliver such Auditors’ Determination in the time period set out herein, the Administrative Agent shall be entitled to demand payment under the guarantee, without limitation.</w:t>
      </w:r>
    </w:p>
    <w:p>
      <w:pPr>
        <w:spacing w:after="0" w:line="158" w:lineRule="exact"/>
        <w:rPr>
          <w:rFonts w:ascii="Arial" w:cs="Arial" w:eastAsia="Arial" w:hAnsi="Arial"/>
          <w:sz w:val="22"/>
          <w:szCs w:val="22"/>
          <w:color w:val="auto"/>
        </w:rPr>
      </w:pPr>
    </w:p>
    <w:p>
      <w:pPr>
        <w:jc w:val="both"/>
        <w:ind w:firstLine="656"/>
        <w:spacing w:after="0" w:line="220" w:lineRule="auto"/>
        <w:tabs>
          <w:tab w:leader="none" w:pos="1185"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limitation under paragraph (a) above does not apply if, at the time a demand for payment is made under this Agreement, (i) a domination agreement (</w:t>
      </w:r>
      <w:r>
        <w:rPr>
          <w:rFonts w:ascii="Arial" w:cs="Arial" w:eastAsia="Arial" w:hAnsi="Arial"/>
          <w:sz w:val="21"/>
          <w:szCs w:val="21"/>
          <w:i w:val="1"/>
          <w:iCs w:val="1"/>
          <w:color w:val="auto"/>
        </w:rPr>
        <w:t>Beherrschungsvertrag</w:t>
      </w:r>
      <w:r>
        <w:rPr>
          <w:rFonts w:ascii="Arial" w:cs="Arial" w:eastAsia="Arial" w:hAnsi="Arial"/>
          <w:sz w:val="21"/>
          <w:szCs w:val="21"/>
          <w:color w:val="auto"/>
        </w:rPr>
        <w:t>) is in force between the German Guarantor (with the German Guarantor as dominated entity) and the relevant Subsidiary or a holding company of the relevant Subsidiary (or an uninterrupted chain of domination agreements is in force between the German Guarantor and the relevant obligor or a Holding Company of the relevant obligor (with the German Guarantor as dominated entity) whose obligations and liabilities are guaranteed, unless if and to the extent the payment under the guarantee or indemnity is not covered by a fully valuable counter-obligation vis-à-vis such Holding Company (</w:t>
      </w:r>
      <w:r>
        <w:rPr>
          <w:rFonts w:ascii="Arial" w:cs="Arial" w:eastAsia="Arial" w:hAnsi="Arial"/>
          <w:sz w:val="21"/>
          <w:szCs w:val="21"/>
          <w:i w:val="1"/>
          <w:iCs w:val="1"/>
          <w:color w:val="auto"/>
        </w:rPr>
        <w:t>vollwertiger Gegenleistungsanspruch gegen die herrschende Gesellschaft gedeckt ist</w:t>
      </w:r>
      <w:r>
        <w:rPr>
          <w:rFonts w:ascii="Arial" w:cs="Arial" w:eastAsia="Arial" w:hAnsi="Arial"/>
          <w:sz w:val="21"/>
          <w:szCs w:val="21"/>
          <w:color w:val="auto"/>
        </w:rPr>
        <w:t>) and (ii) with respect to payments or transactions (Leistungen) that are covered by a fully valuable counter-obligation vis-à-vis the relevant affiliate which claims are secured by the guarantee or indemnity (</w:t>
      </w:r>
      <w:r>
        <w:rPr>
          <w:rFonts w:ascii="Arial" w:cs="Arial" w:eastAsia="Arial" w:hAnsi="Arial"/>
          <w:sz w:val="21"/>
          <w:szCs w:val="21"/>
          <w:i w:val="1"/>
          <w:iCs w:val="1"/>
          <w:color w:val="auto"/>
        </w:rPr>
        <w:t>die durch einen vollwertigen Gegenleistungs- oder Rückgewähranspruch</w:t>
      </w:r>
      <w:r>
        <w:rPr>
          <w:rFonts w:ascii="Arial" w:cs="Arial" w:eastAsia="Arial" w:hAnsi="Arial"/>
          <w:sz w:val="21"/>
          <w:szCs w:val="21"/>
          <w:color w:val="auto"/>
        </w:rPr>
        <w:t xml:space="preserve"> </w:t>
      </w:r>
      <w:r>
        <w:rPr>
          <w:rFonts w:ascii="Arial" w:cs="Arial" w:eastAsia="Arial" w:hAnsi="Arial"/>
          <w:sz w:val="21"/>
          <w:szCs w:val="21"/>
          <w:i w:val="1"/>
          <w:iCs w:val="1"/>
          <w:color w:val="auto"/>
        </w:rPr>
        <w:t>gedeckt sind</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656"/>
        <w:spacing w:after="0" w:line="212" w:lineRule="auto"/>
        <w:tabs>
          <w:tab w:leader="none" w:pos="113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enforcement of the guarantee and indemnity created hereunder against the German Guarantor shall be further excluded (</w:t>
      </w:r>
      <w:r>
        <w:rPr>
          <w:rFonts w:ascii="Arial" w:cs="Arial" w:eastAsia="Arial" w:hAnsi="Arial"/>
          <w:sz w:val="22"/>
          <w:szCs w:val="22"/>
          <w:i w:val="1"/>
          <w:iCs w:val="1"/>
          <w:color w:val="auto"/>
        </w:rPr>
        <w:t>pactum de non petendo</w:t>
      </w:r>
      <w:r>
        <w:rPr>
          <w:rFonts w:ascii="Arial" w:cs="Arial" w:eastAsia="Arial" w:hAnsi="Arial"/>
          <w:sz w:val="22"/>
          <w:szCs w:val="22"/>
          <w:color w:val="auto"/>
        </w:rPr>
        <w:t xml:space="preserve"> it being understood, however, that the claims arising under such guarantee shall in all other aspects continue to exist due and payable both before and after the commencement of insolvency proceedings) to the extent that such enforcement would result in the German Guarantor becoming illiquid (</w:t>
      </w:r>
      <w:r>
        <w:rPr>
          <w:rFonts w:ascii="Arial" w:cs="Arial" w:eastAsia="Arial" w:hAnsi="Arial"/>
          <w:sz w:val="22"/>
          <w:szCs w:val="22"/>
          <w:i w:val="1"/>
          <w:iCs w:val="1"/>
          <w:color w:val="auto"/>
        </w:rPr>
        <w:t>zahlungsunfähig</w:t>
      </w:r>
      <w:r>
        <w:rPr>
          <w:rFonts w:ascii="Arial" w:cs="Arial" w:eastAsia="Arial" w:hAnsi="Arial"/>
          <w:sz w:val="22"/>
          <w:szCs w:val="22"/>
          <w:color w:val="auto"/>
        </w:rPr>
        <w:t>) (such situation hereinafter referred to as a “</w:t>
      </w:r>
      <w:r>
        <w:rPr>
          <w:rFonts w:ascii="Arial" w:cs="Arial" w:eastAsia="Arial" w:hAnsi="Arial"/>
          <w:sz w:val="22"/>
          <w:szCs w:val="22"/>
          <w:b w:val="1"/>
          <w:bCs w:val="1"/>
          <w:color w:val="auto"/>
        </w:rPr>
        <w:t>Liquidity Impairment</w:t>
      </w:r>
      <w:r>
        <w:rPr>
          <w:rFonts w:ascii="Arial" w:cs="Arial" w:eastAsia="Arial" w:hAnsi="Arial"/>
          <w:sz w:val="22"/>
          <w:szCs w:val="22"/>
          <w:color w:val="auto"/>
        </w:rPr>
        <w:t>”) and would for that reason constitute an unlawful payment within the meaning of section 64 sentence 3 of the German Limited Liability Companies Act (</w:t>
      </w:r>
      <w:r>
        <w:rPr>
          <w:rFonts w:ascii="Arial" w:cs="Arial" w:eastAsia="Arial" w:hAnsi="Arial"/>
          <w:sz w:val="22"/>
          <w:szCs w:val="22"/>
          <w:i w:val="1"/>
          <w:iCs w:val="1"/>
          <w:color w:val="auto"/>
        </w:rPr>
        <w:t>GmbHG</w:t>
      </w:r>
      <w:r>
        <w:rPr>
          <w:rFonts w:ascii="Arial" w:cs="Arial" w:eastAsia="Arial" w:hAnsi="Arial"/>
          <w:sz w:val="22"/>
          <w:szCs w:val="22"/>
          <w:color w:val="auto"/>
        </w:rPr>
        <w:t>) and therefore result in a personal liability of the directors of the German Guarantor.</w:t>
      </w:r>
    </w:p>
    <w:p>
      <w:pPr>
        <w:spacing w:after="0" w:line="163" w:lineRule="exact"/>
        <w:rPr>
          <w:rFonts w:ascii="Arial" w:cs="Arial" w:eastAsia="Arial" w:hAnsi="Arial"/>
          <w:sz w:val="22"/>
          <w:szCs w:val="22"/>
          <w:color w:val="auto"/>
        </w:rPr>
      </w:pPr>
    </w:p>
    <w:p>
      <w:pPr>
        <w:ind w:firstLine="656"/>
        <w:spacing w:after="0" w:line="232" w:lineRule="auto"/>
        <w:tabs>
          <w:tab w:leader="none" w:pos="122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Administrative Agent is not prevented from enforcing the guarantee due to the occurrence of a Liquidity Impairment if:</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844"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the German Guarantor does not make payments in accordance with the liquidity schedule referred to in paragraph (k) below or in accordance with any other payment schedule subsequently delivered to the Administrative Agent (on behalf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01" w:right="339" w:bottom="1440" w:gutter="0" w:footer="0" w:header="0"/>
        </w:sectPr>
      </w:pPr>
    </w:p>
    <w:bookmarkStart w:id="212" w:name="page213"/>
    <w:bookmarkEnd w:id="212"/>
    <w:p>
      <w:pPr>
        <w:ind w:firstLine="1304"/>
        <w:spacing w:after="0" w:line="232" w:lineRule="auto"/>
        <w:tabs>
          <w:tab w:leader="none" w:pos="185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German Guarantor does not or stops to take promptly all acceptable (</w:t>
      </w:r>
      <w:r>
        <w:rPr>
          <w:rFonts w:ascii="Arial" w:cs="Arial" w:eastAsia="Arial" w:hAnsi="Arial"/>
          <w:sz w:val="22"/>
          <w:szCs w:val="22"/>
          <w:i w:val="1"/>
          <w:iCs w:val="1"/>
          <w:color w:val="auto"/>
        </w:rPr>
        <w:t>zumutbare</w:t>
      </w:r>
      <w:r>
        <w:rPr>
          <w:rFonts w:ascii="Arial" w:cs="Arial" w:eastAsia="Arial" w:hAnsi="Arial"/>
          <w:sz w:val="22"/>
          <w:szCs w:val="22"/>
          <w:color w:val="auto"/>
        </w:rPr>
        <w:t>) measures in order to increase the German Guarantor’s liquidity;</w:t>
      </w:r>
    </w:p>
    <w:p>
      <w:pPr>
        <w:spacing w:after="0" w:line="158" w:lineRule="exact"/>
        <w:rPr>
          <w:rFonts w:ascii="Arial" w:cs="Arial" w:eastAsia="Arial" w:hAnsi="Arial"/>
          <w:sz w:val="22"/>
          <w:szCs w:val="22"/>
          <w:color w:val="auto"/>
        </w:rPr>
      </w:pPr>
    </w:p>
    <w:p>
      <w:pPr>
        <w:ind w:firstLine="1304"/>
        <w:spacing w:after="0" w:line="232" w:lineRule="auto"/>
        <w:tabs>
          <w:tab w:leader="none" w:pos="1911"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German Guarantor does not promptly deliver further liquidity schedules and/or payment schedules or any other information or assistance if reasonably so requested by the Administrative Agent; or</w:t>
      </w:r>
    </w:p>
    <w:p>
      <w:pPr>
        <w:spacing w:after="0" w:line="158" w:lineRule="exact"/>
        <w:rPr>
          <w:rFonts w:ascii="Arial" w:cs="Arial" w:eastAsia="Arial" w:hAnsi="Arial"/>
          <w:sz w:val="22"/>
          <w:szCs w:val="22"/>
          <w:color w:val="auto"/>
        </w:rPr>
      </w:pPr>
    </w:p>
    <w:p>
      <w:pPr>
        <w:ind w:left="1920" w:hanging="616"/>
        <w:spacing w:after="0"/>
        <w:tabs>
          <w:tab w:leader="none" w:pos="192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the German Guarantor otherwise does not use its best efforts to be able to fulfil its payment obligations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the guarantee.</w:t>
      </w:r>
    </w:p>
    <w:p>
      <w:pPr>
        <w:spacing w:after="0" w:line="161" w:lineRule="exact"/>
        <w:rPr>
          <w:rFonts w:ascii="Arial" w:cs="Arial" w:eastAsia="Arial" w:hAnsi="Arial"/>
          <w:sz w:val="19"/>
          <w:szCs w:val="19"/>
          <w:color w:val="auto"/>
        </w:rPr>
      </w:pPr>
    </w:p>
    <w:p>
      <w:pPr>
        <w:jc w:val="both"/>
        <w:ind w:firstLine="656"/>
        <w:spacing w:after="0" w:line="268" w:lineRule="auto"/>
        <w:tabs>
          <w:tab w:leader="none" w:pos="113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For the purpose of determination if and to which extent a payment under this Agreement would result in a Liquidity Impairment, the German Guarantor will deliver (within 30 days after receipt from the Administrative Agent of a notice stating that the Administrative Agent intends to demand payment under the guarantee) to the Administrative Agent:</w:t>
      </w:r>
    </w:p>
    <w:p>
      <w:pPr>
        <w:spacing w:after="0" w:line="132" w:lineRule="exact"/>
        <w:rPr>
          <w:rFonts w:ascii="Arial" w:cs="Arial" w:eastAsia="Arial" w:hAnsi="Arial"/>
          <w:sz w:val="19"/>
          <w:szCs w:val="19"/>
          <w:color w:val="auto"/>
        </w:rPr>
      </w:pPr>
    </w:p>
    <w:p>
      <w:pPr>
        <w:jc w:val="both"/>
        <w:ind w:firstLine="1304"/>
        <w:spacing w:after="0" w:line="223" w:lineRule="auto"/>
        <w:tabs>
          <w:tab w:leader="none" w:pos="177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 liquidity status and a liquidity forecast for the next following 13 weeks together with a payment schedule showing at what times and in what instalments the German Guarantor will be able to make payments under this guarantee followed by weekly updates thereto;</w:t>
      </w:r>
    </w:p>
    <w:p>
      <w:pPr>
        <w:spacing w:after="0" w:line="158" w:lineRule="exact"/>
        <w:rPr>
          <w:rFonts w:ascii="Arial" w:cs="Arial" w:eastAsia="Arial" w:hAnsi="Arial"/>
          <w:sz w:val="22"/>
          <w:szCs w:val="22"/>
          <w:color w:val="auto"/>
        </w:rPr>
      </w:pPr>
    </w:p>
    <w:p>
      <w:pPr>
        <w:ind w:firstLine="1304"/>
        <w:spacing w:after="0" w:line="247" w:lineRule="auto"/>
        <w:tabs>
          <w:tab w:leader="none" w:pos="1810" w:val="left"/>
        </w:tabs>
        <w:numPr>
          <w:ilvl w:val="1"/>
          <w:numId w:val="187"/>
        </w:numPr>
        <w:rPr>
          <w:rFonts w:ascii="Arial" w:cs="Arial" w:eastAsia="Arial" w:hAnsi="Arial"/>
          <w:sz w:val="21"/>
          <w:szCs w:val="21"/>
          <w:color w:val="auto"/>
        </w:rPr>
      </w:pPr>
      <w:r>
        <w:rPr>
          <w:rFonts w:ascii="Arial" w:cs="Arial" w:eastAsia="Arial" w:hAnsi="Arial"/>
          <w:sz w:val="21"/>
          <w:szCs w:val="21"/>
          <w:color w:val="auto"/>
        </w:rPr>
        <w:t>evidence to the satisfaction of the Administrative Agent that all acceptable (</w:t>
      </w:r>
      <w:r>
        <w:rPr>
          <w:rFonts w:ascii="Arial" w:cs="Arial" w:eastAsia="Arial" w:hAnsi="Arial"/>
          <w:sz w:val="21"/>
          <w:szCs w:val="21"/>
          <w:i w:val="1"/>
          <w:iCs w:val="1"/>
          <w:color w:val="auto"/>
        </w:rPr>
        <w:t>zumutbare</w:t>
      </w:r>
      <w:r>
        <w:rPr>
          <w:rFonts w:ascii="Arial" w:cs="Arial" w:eastAsia="Arial" w:hAnsi="Arial"/>
          <w:sz w:val="21"/>
          <w:szCs w:val="21"/>
          <w:color w:val="auto"/>
        </w:rPr>
        <w:t>) measures have been taken or will promptly (</w:t>
      </w:r>
      <w:r>
        <w:rPr>
          <w:rFonts w:ascii="Arial" w:cs="Arial" w:eastAsia="Arial" w:hAnsi="Arial"/>
          <w:sz w:val="21"/>
          <w:szCs w:val="21"/>
          <w:i w:val="1"/>
          <w:iCs w:val="1"/>
          <w:color w:val="auto"/>
        </w:rPr>
        <w:t>unverzüglich</w:t>
      </w:r>
      <w:r>
        <w:rPr>
          <w:rFonts w:ascii="Arial" w:cs="Arial" w:eastAsia="Arial" w:hAnsi="Arial"/>
          <w:sz w:val="21"/>
          <w:szCs w:val="21"/>
          <w:color w:val="auto"/>
        </w:rPr>
        <w:t>) be taken in order to increase the German Guarantor’s liquidity, and</w:t>
      </w:r>
    </w:p>
    <w:p>
      <w:pPr>
        <w:spacing w:after="0" w:line="150" w:lineRule="exact"/>
        <w:rPr>
          <w:rFonts w:ascii="Arial" w:cs="Arial" w:eastAsia="Arial" w:hAnsi="Arial"/>
          <w:sz w:val="21"/>
          <w:szCs w:val="21"/>
          <w:color w:val="auto"/>
        </w:rPr>
      </w:pPr>
    </w:p>
    <w:p>
      <w:pPr>
        <w:ind w:firstLine="656"/>
        <w:spacing w:after="0" w:line="232" w:lineRule="auto"/>
        <w:tabs>
          <w:tab w:leader="none" w:pos="11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a confirmation by a firm of auditors of international standard and repute if and to which extent payment under this Agreement (taken into account payment by instalments) would result in a Liquidity Impairment.</w:t>
      </w:r>
    </w:p>
    <w:p>
      <w:pPr>
        <w:spacing w:after="0" w:line="158" w:lineRule="exact"/>
        <w:rPr>
          <w:rFonts w:ascii="Arial" w:cs="Arial" w:eastAsia="Arial" w:hAnsi="Arial"/>
          <w:sz w:val="22"/>
          <w:szCs w:val="22"/>
          <w:color w:val="auto"/>
        </w:rPr>
      </w:pPr>
    </w:p>
    <w:p>
      <w:pPr>
        <w:ind w:left="1180" w:hanging="524"/>
        <w:spacing w:after="0"/>
        <w:tabs>
          <w:tab w:leader="none" w:pos="11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limitations set out in paragraphs (a) and (i) above shall not apply:</w:t>
      </w:r>
    </w:p>
    <w:p>
      <w:pPr>
        <w:spacing w:after="0" w:line="179" w:lineRule="exact"/>
        <w:rPr>
          <w:rFonts w:ascii="Arial" w:cs="Arial" w:eastAsia="Arial" w:hAnsi="Arial"/>
          <w:sz w:val="22"/>
          <w:szCs w:val="22"/>
          <w:color w:val="auto"/>
        </w:rPr>
      </w:pPr>
    </w:p>
    <w:p>
      <w:pPr>
        <w:jc w:val="both"/>
        <w:ind w:firstLine="1304"/>
        <w:spacing w:after="0" w:line="212" w:lineRule="auto"/>
        <w:tabs>
          <w:tab w:leader="none" w:pos="1826"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to any amounts due and payable under the Guarantee, which relate (A) to funds borrowed under a Loan Document which have been lent, on-lent or otherwise made available to the German Guarantor or any of its Subsidiaries and are still outstanding and (B) to letters of credit or similar instruments to the extent issued for the benefit of the German Guarantor or any of its Subsidiaries and which are still outstanding, whereas the German Guarantor shall at any time upon the Administrative Agent's request produce evidence to the Administrative Agent (in form and substance satisfactory to the Administrative Agent acting reasonably) as to whether any monies borrowed under this Agreement have been on-lent or otherwise made available to it or any of its Subsidiaries;</w:t>
      </w:r>
    </w:p>
    <w:p>
      <w:pPr>
        <w:spacing w:after="0" w:line="163" w:lineRule="exact"/>
        <w:rPr>
          <w:rFonts w:ascii="Arial" w:cs="Arial" w:eastAsia="Arial" w:hAnsi="Arial"/>
          <w:sz w:val="22"/>
          <w:szCs w:val="22"/>
          <w:color w:val="auto"/>
        </w:rPr>
      </w:pPr>
    </w:p>
    <w:p>
      <w:pPr>
        <w:jc w:val="both"/>
        <w:ind w:firstLine="1304"/>
        <w:spacing w:after="0" w:line="216" w:lineRule="auto"/>
        <w:tabs>
          <w:tab w:leader="none" w:pos="1842" w:val="left"/>
        </w:tabs>
        <w:numPr>
          <w:ilvl w:val="1"/>
          <w:numId w:val="187"/>
        </w:numPr>
        <w:rPr>
          <w:rFonts w:ascii="Arial" w:cs="Arial" w:eastAsia="Arial" w:hAnsi="Arial"/>
          <w:sz w:val="22"/>
          <w:szCs w:val="22"/>
          <w:color w:val="auto"/>
        </w:rPr>
      </w:pPr>
      <w:r>
        <w:rPr>
          <w:rFonts w:ascii="Arial" w:cs="Arial" w:eastAsia="Arial" w:hAnsi="Arial"/>
          <w:sz w:val="22"/>
          <w:szCs w:val="22"/>
          <w:color w:val="auto"/>
        </w:rPr>
        <w:t>if and to the extent that, at the time of enforcement of the Guarantee, due to statutory law or according to case-law of the German Federal Court (</w:t>
      </w:r>
      <w:r>
        <w:rPr>
          <w:rFonts w:ascii="Arial" w:cs="Arial" w:eastAsia="Arial" w:hAnsi="Arial"/>
          <w:sz w:val="22"/>
          <w:szCs w:val="22"/>
          <w:i w:val="1"/>
          <w:iCs w:val="1"/>
          <w:color w:val="auto"/>
        </w:rPr>
        <w:t>Bundesgerichtshof</w:t>
      </w:r>
      <w:r>
        <w:rPr>
          <w:rFonts w:ascii="Arial" w:cs="Arial" w:eastAsia="Arial" w:hAnsi="Arial"/>
          <w:sz w:val="22"/>
          <w:szCs w:val="22"/>
          <w:color w:val="auto"/>
        </w:rPr>
        <w:t>), such limitations are not required to protect the managing directors of the German Guarantor from the risk of personal liability resulting from a violation of the German Guarantor's obligation to maintain its registered share capital due to the enforcement or from violation of obligations or similar provisions under the then applicable laws.</w:t>
      </w:r>
    </w:p>
    <w:p>
      <w:pPr>
        <w:spacing w:after="0" w:line="157" w:lineRule="exact"/>
        <w:rPr>
          <w:rFonts w:ascii="Arial" w:cs="Arial" w:eastAsia="Arial" w:hAnsi="Arial"/>
          <w:sz w:val="22"/>
          <w:szCs w:val="22"/>
          <w:color w:val="auto"/>
        </w:rPr>
      </w:pPr>
    </w:p>
    <w:p>
      <w:pPr>
        <w:jc w:val="both"/>
        <w:ind w:firstLine="656"/>
        <w:spacing w:after="0" w:line="223" w:lineRule="auto"/>
        <w:tabs>
          <w:tab w:leader="none" w:pos="116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restrictions set out in this </w:t>
      </w:r>
      <w:r>
        <w:rPr>
          <w:rFonts w:ascii="Arial" w:cs="Arial" w:eastAsia="Arial" w:hAnsi="Arial"/>
          <w:sz w:val="22"/>
          <w:szCs w:val="22"/>
          <w:u w:val="single" w:color="auto"/>
          <w:color w:val="auto"/>
        </w:rPr>
        <w:t>Section 9.09</w:t>
      </w:r>
      <w:r>
        <w:rPr>
          <w:rFonts w:ascii="Arial" w:cs="Arial" w:eastAsia="Arial" w:hAnsi="Arial"/>
          <w:sz w:val="22"/>
          <w:szCs w:val="22"/>
          <w:color w:val="auto"/>
        </w:rPr>
        <w:t xml:space="preserve"> do not affect the rights of the Secured Parties to claim any outstanding amount under the Guarantee again at a later point in time if and to the extent the restrictions set out in this </w:t>
      </w:r>
      <w:r>
        <w:rPr>
          <w:rFonts w:ascii="Arial" w:cs="Arial" w:eastAsia="Arial" w:hAnsi="Arial"/>
          <w:sz w:val="22"/>
          <w:szCs w:val="22"/>
          <w:u w:val="single" w:color="auto"/>
          <w:color w:val="auto"/>
        </w:rPr>
        <w:t>Section 9.09</w:t>
      </w:r>
      <w:r>
        <w:rPr>
          <w:rFonts w:ascii="Arial" w:cs="Arial" w:eastAsia="Arial" w:hAnsi="Arial"/>
          <w:sz w:val="22"/>
          <w:szCs w:val="22"/>
          <w:color w:val="auto"/>
        </w:rPr>
        <w:t xml:space="preserve"> would allow such claim at that later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01" w:right="339" w:bottom="1440" w:gutter="0" w:footer="0" w:header="0"/>
        </w:sectPr>
      </w:pPr>
    </w:p>
    <w:bookmarkStart w:id="213" w:name="page214"/>
    <w:bookmarkEnd w:id="213"/>
    <w:p>
      <w:pPr>
        <w:ind w:firstLine="648"/>
        <w:spacing w:after="0" w:line="232"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Philippines Entities</w:t>
      </w:r>
      <w:r>
        <w:rPr>
          <w:rFonts w:ascii="Arial" w:cs="Arial" w:eastAsia="Arial" w:hAnsi="Arial"/>
          <w:sz w:val="22"/>
          <w:szCs w:val="22"/>
          <w:color w:val="auto"/>
        </w:rPr>
        <w:t>. It is understood and agreed that notwithstanding anything contrary in this Agreement, all references to the Guarantors under this Article 9 shall not include any Philippines Guarantors.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34" w:lineRule="auto"/>
        <w:tabs>
          <w:tab w:leader="none" w:pos="1115"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58"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if to the Borrower, to it at: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Fluence Energy, LLC</w:t>
      </w:r>
    </w:p>
    <w:p>
      <w:pPr>
        <w:ind w:left="1960"/>
        <w:spacing w:after="0" w:line="204" w:lineRule="auto"/>
        <w:rPr>
          <w:sz w:val="20"/>
          <w:szCs w:val="20"/>
          <w:color w:val="auto"/>
        </w:rPr>
      </w:pPr>
      <w:r>
        <w:rPr>
          <w:rFonts w:ascii="Arial" w:cs="Arial" w:eastAsia="Arial" w:hAnsi="Arial"/>
          <w:sz w:val="22"/>
          <w:szCs w:val="22"/>
          <w:color w:val="auto"/>
        </w:rPr>
        <w:t>4601 Fairfax Drive, Suite 600</w:t>
      </w:r>
    </w:p>
    <w:p>
      <w:pPr>
        <w:ind w:left="1960"/>
        <w:spacing w:after="0" w:line="205" w:lineRule="auto"/>
        <w:rPr>
          <w:sz w:val="20"/>
          <w:szCs w:val="20"/>
          <w:color w:val="auto"/>
        </w:rPr>
      </w:pPr>
      <w:r>
        <w:rPr>
          <w:rFonts w:ascii="Arial" w:cs="Arial" w:eastAsia="Arial" w:hAnsi="Arial"/>
          <w:sz w:val="22"/>
          <w:szCs w:val="22"/>
          <w:color w:val="auto"/>
        </w:rPr>
        <w:t>Arlington, VA 22203</w:t>
      </w:r>
    </w:p>
    <w:p>
      <w:pPr>
        <w:ind w:left="1960"/>
        <w:spacing w:after="0" w:line="205" w:lineRule="auto"/>
        <w:rPr>
          <w:sz w:val="20"/>
          <w:szCs w:val="20"/>
          <w:color w:val="auto"/>
        </w:rPr>
      </w:pPr>
      <w:r>
        <w:rPr>
          <w:rFonts w:ascii="Arial" w:cs="Arial" w:eastAsia="Arial" w:hAnsi="Arial"/>
          <w:sz w:val="22"/>
          <w:szCs w:val="22"/>
          <w:color w:val="auto"/>
        </w:rPr>
        <w:t>United States</w:t>
      </w:r>
    </w:p>
    <w:p>
      <w:pPr>
        <w:ind w:left="1960"/>
        <w:spacing w:after="0" w:line="205" w:lineRule="auto"/>
        <w:rPr>
          <w:sz w:val="20"/>
          <w:szCs w:val="20"/>
          <w:color w:val="auto"/>
        </w:rPr>
      </w:pPr>
      <w:r>
        <w:rPr>
          <w:rFonts w:ascii="Arial" w:cs="Arial" w:eastAsia="Arial" w:hAnsi="Arial"/>
          <w:sz w:val="22"/>
          <w:szCs w:val="22"/>
          <w:color w:val="auto"/>
        </w:rPr>
        <w:t>Attention: Samuel Chong and Jie Yuan</w:t>
      </w:r>
    </w:p>
    <w:p>
      <w:pPr>
        <w:spacing w:after="0" w:line="1"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samuel.chong@fluenceenergy.com; jie.yuan@fluenceenergy.com</w:t>
      </w:r>
    </w:p>
    <w:p>
      <w:pPr>
        <w:spacing w:after="0" w:line="161" w:lineRule="exact"/>
        <w:rPr>
          <w:sz w:val="20"/>
          <w:szCs w:val="20"/>
          <w:color w:val="auto"/>
        </w:rPr>
      </w:pPr>
    </w:p>
    <w:p>
      <w:pPr>
        <w:jc w:val="center"/>
        <w:ind w:right="4860"/>
        <w:spacing w:after="0"/>
        <w:tabs>
          <w:tab w:leader="none" w:pos="2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if to the Administrative Agent, to it at: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ind w:left="1960"/>
        <w:spacing w:after="0" w:line="204" w:lineRule="auto"/>
        <w:rPr>
          <w:sz w:val="20"/>
          <w:szCs w:val="20"/>
          <w:color w:val="auto"/>
        </w:rPr>
      </w:pPr>
      <w:r>
        <w:rPr>
          <w:rFonts w:ascii="Arial" w:cs="Arial" w:eastAsia="Arial" w:hAnsi="Arial"/>
          <w:sz w:val="22"/>
          <w:szCs w:val="22"/>
          <w:color w:val="auto"/>
        </w:rPr>
        <w:t>500 Stanton Christiana Road</w:t>
      </w:r>
    </w:p>
    <w:p>
      <w:pPr>
        <w:ind w:left="1960"/>
        <w:spacing w:after="0" w:line="205" w:lineRule="auto"/>
        <w:rPr>
          <w:sz w:val="20"/>
          <w:szCs w:val="20"/>
          <w:color w:val="auto"/>
        </w:rPr>
      </w:pPr>
      <w:r>
        <w:rPr>
          <w:rFonts w:ascii="Arial" w:cs="Arial" w:eastAsia="Arial" w:hAnsi="Arial"/>
          <w:sz w:val="22"/>
          <w:szCs w:val="22"/>
          <w:color w:val="auto"/>
        </w:rPr>
        <w:t>NCC 5, 1st Floor</w:t>
      </w:r>
    </w:p>
    <w:p>
      <w:pPr>
        <w:ind w:left="1960"/>
        <w:spacing w:after="0" w:line="205" w:lineRule="auto"/>
        <w:rPr>
          <w:sz w:val="20"/>
          <w:szCs w:val="20"/>
          <w:color w:val="auto"/>
        </w:rPr>
      </w:pPr>
      <w:r>
        <w:rPr>
          <w:rFonts w:ascii="Arial" w:cs="Arial" w:eastAsia="Arial" w:hAnsi="Arial"/>
          <w:sz w:val="22"/>
          <w:szCs w:val="22"/>
          <w:color w:val="auto"/>
        </w:rPr>
        <w:t>Newark, DE 19713</w:t>
      </w:r>
    </w:p>
    <w:p>
      <w:pPr>
        <w:ind w:left="1960"/>
        <w:spacing w:after="0" w:line="205" w:lineRule="auto"/>
        <w:rPr>
          <w:sz w:val="20"/>
          <w:szCs w:val="20"/>
          <w:color w:val="auto"/>
        </w:rPr>
      </w:pPr>
      <w:r>
        <w:rPr>
          <w:rFonts w:ascii="Arial" w:cs="Arial" w:eastAsia="Arial" w:hAnsi="Arial"/>
          <w:sz w:val="22"/>
          <w:szCs w:val="22"/>
          <w:color w:val="auto"/>
        </w:rPr>
        <w:t>Attention: Bryan Cook</w:t>
      </w:r>
    </w:p>
    <w:p>
      <w:pPr>
        <w:ind w:left="1960"/>
        <w:spacing w:after="0" w:line="205" w:lineRule="auto"/>
        <w:rPr>
          <w:sz w:val="20"/>
          <w:szCs w:val="20"/>
          <w:color w:val="auto"/>
        </w:rPr>
      </w:pPr>
      <w:r>
        <w:rPr>
          <w:rFonts w:ascii="Arial" w:cs="Arial" w:eastAsia="Arial" w:hAnsi="Arial"/>
          <w:sz w:val="22"/>
          <w:szCs w:val="22"/>
          <w:color w:val="auto"/>
        </w:rPr>
        <w:t>Telephone: (302) 455-3768</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bryan.a.cook@jpmchase.com</w:t>
      </w:r>
    </w:p>
    <w:p>
      <w:pPr>
        <w:spacing w:after="0" w:line="188" w:lineRule="exact"/>
        <w:rPr>
          <w:sz w:val="20"/>
          <w:szCs w:val="20"/>
          <w:color w:val="auto"/>
        </w:rPr>
      </w:pPr>
    </w:p>
    <w:p>
      <w:pPr>
        <w:ind w:left="1840" w:hanging="536"/>
        <w:spacing w:after="0"/>
        <w:tabs>
          <w:tab w:leader="none" w:pos="184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if to any other Lender, to it at its address (or telecopy number) set forth in its Administrative Questionnaire.</w:t>
      </w:r>
    </w:p>
    <w:p>
      <w:pPr>
        <w:spacing w:after="0" w:line="213" w:lineRule="exact"/>
        <w:rPr>
          <w:rFonts w:ascii="Arial" w:cs="Arial" w:eastAsia="Arial" w:hAnsi="Arial"/>
          <w:sz w:val="19"/>
          <w:szCs w:val="19"/>
          <w:color w:val="auto"/>
        </w:rPr>
      </w:pPr>
    </w:p>
    <w:p>
      <w:pPr>
        <w:ind w:left="1840" w:hanging="536"/>
        <w:spacing w:after="0"/>
        <w:tabs>
          <w:tab w:leader="none" w:pos="18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if to JPMorgan Chase Bank, N.A., as an Issuing Bank, to it at:</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ind w:left="1960"/>
        <w:spacing w:after="0" w:line="204" w:lineRule="auto"/>
        <w:rPr>
          <w:sz w:val="20"/>
          <w:szCs w:val="20"/>
          <w:color w:val="auto"/>
        </w:rPr>
      </w:pPr>
      <w:r>
        <w:rPr>
          <w:rFonts w:ascii="Arial" w:cs="Arial" w:eastAsia="Arial" w:hAnsi="Arial"/>
          <w:sz w:val="22"/>
          <w:szCs w:val="22"/>
          <w:color w:val="auto"/>
        </w:rPr>
        <w:t>10420 Highland Manor Dr. 4th Floor</w:t>
      </w:r>
    </w:p>
    <w:p>
      <w:pPr>
        <w:ind w:left="1960"/>
        <w:spacing w:after="0" w:line="205" w:lineRule="auto"/>
        <w:rPr>
          <w:sz w:val="20"/>
          <w:szCs w:val="20"/>
          <w:color w:val="auto"/>
        </w:rPr>
      </w:pPr>
      <w:r>
        <w:rPr>
          <w:rFonts w:ascii="Arial" w:cs="Arial" w:eastAsia="Arial" w:hAnsi="Arial"/>
          <w:sz w:val="22"/>
          <w:szCs w:val="22"/>
          <w:color w:val="auto"/>
        </w:rPr>
        <w:t>Tampa, FL 33610</w:t>
      </w:r>
    </w:p>
    <w:p>
      <w:pPr>
        <w:ind w:left="1960"/>
        <w:spacing w:after="0" w:line="205" w:lineRule="auto"/>
        <w:rPr>
          <w:sz w:val="20"/>
          <w:szCs w:val="20"/>
          <w:color w:val="auto"/>
        </w:rPr>
      </w:pPr>
      <w:r>
        <w:rPr>
          <w:rFonts w:ascii="Arial" w:cs="Arial" w:eastAsia="Arial" w:hAnsi="Arial"/>
          <w:sz w:val="22"/>
          <w:szCs w:val="22"/>
          <w:color w:val="auto"/>
        </w:rPr>
        <w:t>Attention: Standby LC Unit</w:t>
      </w:r>
    </w:p>
    <w:p>
      <w:pPr>
        <w:ind w:left="1960"/>
        <w:spacing w:after="0" w:line="205" w:lineRule="auto"/>
        <w:rPr>
          <w:sz w:val="20"/>
          <w:szCs w:val="20"/>
          <w:color w:val="auto"/>
        </w:rPr>
      </w:pPr>
      <w:r>
        <w:rPr>
          <w:rFonts w:ascii="Arial" w:cs="Arial" w:eastAsia="Arial" w:hAnsi="Arial"/>
          <w:sz w:val="22"/>
          <w:szCs w:val="22"/>
          <w:color w:val="auto"/>
        </w:rPr>
        <w:t>Tel: 800-364-1969</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856-294-5267</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GTS.Client.Services@jpmchase.com</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JPMorgan Chase Bank, N.A.</w:t>
      </w:r>
    </w:p>
    <w:p>
      <w:pPr>
        <w:ind w:left="1960"/>
        <w:spacing w:after="0" w:line="204" w:lineRule="auto"/>
        <w:rPr>
          <w:sz w:val="20"/>
          <w:szCs w:val="20"/>
          <w:color w:val="auto"/>
        </w:rPr>
      </w:pPr>
      <w:r>
        <w:rPr>
          <w:rFonts w:ascii="Arial" w:cs="Arial" w:eastAsia="Arial" w:hAnsi="Arial"/>
          <w:sz w:val="22"/>
          <w:szCs w:val="22"/>
          <w:color w:val="auto"/>
        </w:rPr>
        <w:t>500 Stanton Christiana Rd.</w:t>
      </w:r>
    </w:p>
    <w:p>
      <w:pPr>
        <w:ind w:left="1960"/>
        <w:spacing w:after="0" w:line="205" w:lineRule="auto"/>
        <w:rPr>
          <w:sz w:val="20"/>
          <w:szCs w:val="20"/>
          <w:color w:val="auto"/>
        </w:rPr>
      </w:pPr>
      <w:r>
        <w:rPr>
          <w:rFonts w:ascii="Arial" w:cs="Arial" w:eastAsia="Arial" w:hAnsi="Arial"/>
          <w:sz w:val="22"/>
          <w:szCs w:val="22"/>
          <w:color w:val="auto"/>
        </w:rPr>
        <w:t>NCC5 / 1st Floor</w:t>
      </w:r>
    </w:p>
    <w:p>
      <w:pPr>
        <w:ind w:left="1960"/>
        <w:spacing w:after="0" w:line="205" w:lineRule="auto"/>
        <w:rPr>
          <w:sz w:val="20"/>
          <w:szCs w:val="20"/>
          <w:color w:val="auto"/>
        </w:rPr>
      </w:pPr>
      <w:r>
        <w:rPr>
          <w:rFonts w:ascii="Arial" w:cs="Arial" w:eastAsia="Arial" w:hAnsi="Arial"/>
          <w:sz w:val="22"/>
          <w:szCs w:val="22"/>
          <w:color w:val="auto"/>
        </w:rPr>
        <w:t>Newark, DE 19713</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Loan &amp; Agency Services Group</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color w:val="auto"/>
        </w:rPr>
        <w:t>128</w:t>
      </w:r>
    </w:p>
    <w:p>
      <w:pPr>
        <w:sectPr>
          <w:pgSz w:w="11900" w:h="16838" w:orient="portrait"/>
          <w:cols w:equalWidth="0" w:num="1">
            <w:col w:w="11240"/>
          </w:cols>
          <w:pgMar w:left="320" w:top="1401" w:right="339" w:bottom="1440" w:gutter="0" w:footer="0" w:header="0"/>
          <w:type w:val="continuous"/>
        </w:sectPr>
      </w:pPr>
    </w:p>
    <w:bookmarkStart w:id="214" w:name="page215"/>
    <w:bookmarkEnd w:id="214"/>
    <w:p>
      <w:pPr>
        <w:ind w:left="1960"/>
        <w:spacing w:after="0"/>
        <w:rPr>
          <w:sz w:val="20"/>
          <w:szCs w:val="20"/>
          <w:color w:val="auto"/>
        </w:rPr>
      </w:pPr>
      <w:r>
        <w:rPr>
          <w:rFonts w:ascii="Arial" w:cs="Arial" w:eastAsia="Arial" w:hAnsi="Arial"/>
          <w:sz w:val="22"/>
          <w:szCs w:val="22"/>
          <w:color w:val="auto"/>
        </w:rPr>
        <w:t>Tel: 1 302 455 3768</w:t>
      </w:r>
    </w:p>
    <w:p>
      <w:pPr>
        <w:ind w:left="1960"/>
        <w:spacing w:after="0" w:line="204" w:lineRule="auto"/>
        <w:rPr>
          <w:sz w:val="20"/>
          <w:szCs w:val="20"/>
          <w:color w:val="auto"/>
        </w:rPr>
      </w:pPr>
      <w:r>
        <w:rPr>
          <w:rFonts w:ascii="Arial" w:cs="Arial" w:eastAsia="Arial" w:hAnsi="Arial"/>
          <w:sz w:val="22"/>
          <w:szCs w:val="22"/>
          <w:color w:val="auto"/>
        </w:rPr>
        <w:t>Fax: 12012443629@tls.ldsprod.com</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bryan.a.cook@jpmchase.com</w:t>
      </w:r>
    </w:p>
    <w:p>
      <w:pPr>
        <w:spacing w:after="0" w:line="161"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19"/>
          <w:szCs w:val="19"/>
          <w:color w:val="auto"/>
        </w:rPr>
        <w:t>With respect to any other Issuing Bank, at its address provided by notice to the other parties hereto.</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49" w:lineRule="exact"/>
        <w:rPr>
          <w:sz w:val="20"/>
          <w:szCs w:val="20"/>
          <w:color w:val="auto"/>
        </w:rPr>
      </w:pPr>
    </w:p>
    <w:p>
      <w:pPr>
        <w:jc w:val="both"/>
        <w:ind w:firstLine="656"/>
        <w:spacing w:after="0" w:line="242" w:lineRule="auto"/>
        <w:tabs>
          <w:tab w:leader="none" w:pos="112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Lenders and the Issuing Banks hereunder may be delivered or furnished by electronic communications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0" w:lineRule="exact"/>
        <w:rPr>
          <w:rFonts w:ascii="Arial" w:cs="Arial" w:eastAsia="Arial" w:hAnsi="Arial"/>
          <w:sz w:val="19"/>
          <w:szCs w:val="19"/>
          <w:color w:val="auto"/>
        </w:rPr>
      </w:pPr>
    </w:p>
    <w:p>
      <w:pPr>
        <w:ind w:firstLine="656"/>
        <w:spacing w:after="0" w:line="232" w:lineRule="auto"/>
        <w:tabs>
          <w:tab w:leader="none" w:pos="117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Any party hereto may change its address or telecopy number for notices and other communications hereunder by notice to the other parties hereto.</w:t>
      </w:r>
    </w:p>
    <w:p>
      <w:pPr>
        <w:spacing w:after="0" w:line="158" w:lineRule="exact"/>
        <w:rPr>
          <w:rFonts w:ascii="Arial" w:cs="Arial" w:eastAsia="Arial" w:hAnsi="Arial"/>
          <w:sz w:val="22"/>
          <w:szCs w:val="22"/>
          <w:color w:val="auto"/>
        </w:rPr>
      </w:pPr>
    </w:p>
    <w:p>
      <w:pPr>
        <w:jc w:val="both"/>
        <w:ind w:firstLine="656"/>
        <w:spacing w:after="0" w:line="243" w:lineRule="auto"/>
        <w:tabs>
          <w:tab w:leader="none" w:pos="115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Borrower agrees that the Administrative Agent may make the Communications (as defined below) available to the Lenders and the Issuing Banks by posting the Communications on Debt Domain, IntraLinks, Syndtrak, or another similar electronic system (the “</w:t>
      </w:r>
      <w:r>
        <w:rPr>
          <w:rFonts w:ascii="Arial" w:cs="Arial" w:eastAsia="Arial" w:hAnsi="Arial"/>
          <w:sz w:val="19"/>
          <w:szCs w:val="19"/>
          <w:b w:val="1"/>
          <w:bCs w:val="1"/>
          <w:color w:val="auto"/>
        </w:rPr>
        <w:t>Platform</w:t>
      </w:r>
      <w:r>
        <w:rPr>
          <w:rFonts w:ascii="Arial" w:cs="Arial" w:eastAsia="Arial" w:hAnsi="Arial"/>
          <w:sz w:val="19"/>
          <w:szCs w:val="19"/>
          <w:color w:val="auto"/>
        </w:rPr>
        <w:t>”). THE PLATFORM IS PROVIDED “AS IS” AND “AS AVAILABLE.” The Agent Parties (as defined below) do not warrant the adequacy of the Platform and expressly disclaim liability for errors or omissions in the communications effected thereby (the “</w:t>
      </w:r>
      <w:r>
        <w:rPr>
          <w:rFonts w:ascii="Arial" w:cs="Arial" w:eastAsia="Arial" w:hAnsi="Arial"/>
          <w:sz w:val="19"/>
          <w:szCs w:val="19"/>
          <w:b w:val="1"/>
          <w:bCs w:val="1"/>
          <w:color w:val="auto"/>
        </w:rPr>
        <w:t>Communications</w:t>
      </w:r>
      <w:r>
        <w:rPr>
          <w:rFonts w:ascii="Arial" w:cs="Arial" w:eastAsia="Arial" w:hAnsi="Arial"/>
          <w:sz w:val="19"/>
          <w:szCs w:val="19"/>
          <w:color w:val="auto"/>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b w:val="1"/>
          <w:bCs w:val="1"/>
          <w:color w:val="auto"/>
        </w:rPr>
        <w:t>Agent Parties</w:t>
      </w:r>
      <w:r>
        <w:rPr>
          <w:rFonts w:ascii="Arial" w:cs="Arial" w:eastAsia="Arial" w:hAnsi="Arial"/>
          <w:sz w:val="19"/>
          <w:szCs w:val="19"/>
          <w:color w:val="auto"/>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382" w:right="339" w:bottom="1440" w:gutter="0" w:footer="0" w:header="0"/>
        </w:sectPr>
      </w:pPr>
    </w:p>
    <w:bookmarkStart w:id="215" w:name="page216"/>
    <w:bookmarkEnd w:id="215"/>
    <w:p>
      <w:pPr>
        <w:ind w:left="660"/>
        <w:spacing w:after="0"/>
        <w:tabs>
          <w:tab w:leader="none" w:pos="204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Waivers; Amendments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9" w:lineRule="auto"/>
        <w:tabs>
          <w:tab w:leader="none" w:pos="1156" w:val="left"/>
        </w:tabs>
        <w:numPr>
          <w:ilvl w:val="1"/>
          <w:numId w:val="191"/>
        </w:numPr>
        <w:rPr>
          <w:rFonts w:ascii="Arial" w:cs="Arial" w:eastAsia="Arial" w:hAnsi="Arial"/>
          <w:sz w:val="21"/>
          <w:szCs w:val="21"/>
          <w:color w:val="auto"/>
        </w:rPr>
      </w:pPr>
      <w:r>
        <w:rPr>
          <w:rFonts w:ascii="Arial" w:cs="Arial" w:eastAsia="Arial" w:hAnsi="Arial"/>
          <w:sz w:val="21"/>
          <w:szCs w:val="21"/>
          <w:color w:val="auto"/>
        </w:rPr>
        <w:t>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any other Loan Document or consent to any departure by any Guarantor therefrom shall in any event be effective unless the same shall be permitted by paragraph (b) of this Section, and then such waiver or consent shall be effective only in the specific instance and for the purpose for which given. No notice or demand on any Guarantor in any case shall entitle such Guarantor to any other or further notice or demand in similar or other circumstances. Without limiting the generality of the foregoing, the making of a Loan or issuance of a Letter of Credit shall not be construed as a waiver of any Default, regardless of whether the Administrative Agent, any Issuing Bank or any Lender may have had notice or knowledge of such Default at the time.</w:t>
      </w:r>
    </w:p>
    <w:p>
      <w:pPr>
        <w:spacing w:after="0" w:line="163" w:lineRule="exact"/>
        <w:rPr>
          <w:rFonts w:ascii="Arial" w:cs="Arial" w:eastAsia="Arial" w:hAnsi="Arial"/>
          <w:sz w:val="21"/>
          <w:szCs w:val="21"/>
          <w:color w:val="auto"/>
        </w:rPr>
      </w:pPr>
    </w:p>
    <w:p>
      <w:pPr>
        <w:jc w:val="both"/>
        <w:ind w:firstLine="656"/>
        <w:spacing w:after="0"/>
        <w:tabs>
          <w:tab w:leader="none" w:pos="1151" w:val="left"/>
        </w:tabs>
        <w:numPr>
          <w:ilvl w:val="1"/>
          <w:numId w:val="191"/>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below, none of this Agreement, any other Loan Document 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consent shall: (i) amend the definition of “Applicable Percentage” without the consent of each Lender, or extend or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w:t>
      </w:r>
    </w:p>
    <w:p>
      <w:pPr>
        <w:jc w:val="both"/>
        <w:ind w:firstLine="8"/>
        <w:spacing w:after="0" w:line="239" w:lineRule="auto"/>
        <w:tabs>
          <w:tab w:leader="none" w:pos="38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clause (ii) or (iii) of this </w:t>
      </w:r>
      <w:r>
        <w:rPr>
          <w:rFonts w:ascii="Arial" w:cs="Arial" w:eastAsia="Arial" w:hAnsi="Arial"/>
          <w:sz w:val="19"/>
          <w:szCs w:val="19"/>
          <w:u w:val="single" w:color="auto"/>
          <w:color w:val="auto"/>
        </w:rPr>
        <w:t>Section 10.02(b)</w:t>
      </w:r>
      <w:r>
        <w:rPr>
          <w:rFonts w:ascii="Arial" w:cs="Arial" w:eastAsia="Arial" w:hAnsi="Arial"/>
          <w:sz w:val="19"/>
          <w:szCs w:val="19"/>
          <w:color w:val="auto"/>
        </w:rPr>
        <w:t xml:space="preserve">, only the consent of the Required Lenders shall be necessary to waive any obligation of the Borrower to pay interest at the default rate set forth in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(iv) change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2.15(c)</w:t>
      </w:r>
      <w:r>
        <w:rPr>
          <w:rFonts w:ascii="Arial" w:cs="Arial" w:eastAsia="Arial" w:hAnsi="Arial"/>
          <w:sz w:val="19"/>
          <w:szCs w:val="19"/>
          <w:color w:val="auto"/>
        </w:rPr>
        <w:t xml:space="preserve"> or any other Section hereof providing for the ratable treatment of the Lenders, in each case in a manner that would alter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sharing of payments required thereby, without the written consent of each Lender, (v) release all or substantially all of the value of the Guaranty or release all or substantially all of the Collateral, without the written consent of each Lender, except to the extent the release of any Guarantor or the Collateral is permitted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(in which case such release may be made by the Administrative Agent acting alone), (vi)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 subordinate the Liens on all or substantially all the value of the Collateral to the Liens securing any other Indebtedness, or contractually subordinate with respect to payment any Obligations, without the written consent of each Lender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 that is provided a bona fide offer to participate on a ratable basis and on substantially the same terms offered to each other Lender in the issuance of such Indebtedness shall be deemed not to be adversely affected, (viii) amend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without the written consent of the Administrative Agent and each Lender adversely affected thereby or (ix) amend the definition of “Alternative Currency” without the written consent of the Administrative Agent and each Lender adversely affected thereby. Notwithstanding anything to the contrary herein, no such agreement shall amend, modify or otherwise affect the rights or duties of the Administrative Agent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01" w:right="339" w:bottom="1440" w:gutter="0" w:footer="0" w:header="0"/>
        </w:sectPr>
      </w:pPr>
    </w:p>
    <w:bookmarkStart w:id="216" w:name="page217"/>
    <w:bookmarkEnd w:id="216"/>
    <w:p>
      <w:pPr>
        <w:spacing w:after="0"/>
        <w:rPr>
          <w:sz w:val="20"/>
          <w:szCs w:val="20"/>
          <w:color w:val="auto"/>
        </w:rPr>
      </w:pPr>
      <w:r>
        <w:rPr>
          <w:rFonts w:ascii="Arial" w:cs="Arial" w:eastAsia="Arial" w:hAnsi="Arial"/>
          <w:sz w:val="19"/>
          <w:szCs w:val="19"/>
          <w:color w:val="auto"/>
        </w:rPr>
        <w:t>Issuing Bank hereunder without the prior written consent of the Administrative Agent or such Issuing Bank, as the case may be.</w:t>
      </w:r>
    </w:p>
    <w:p>
      <w:pPr>
        <w:spacing w:after="0" w:line="214" w:lineRule="exact"/>
        <w:rPr>
          <w:sz w:val="20"/>
          <w:szCs w:val="20"/>
          <w:color w:val="auto"/>
        </w:rPr>
      </w:pPr>
    </w:p>
    <w:p>
      <w:pPr>
        <w:jc w:val="both"/>
        <w:ind w:firstLine="656"/>
        <w:spacing w:after="0" w:line="212" w:lineRule="auto"/>
        <w:tabs>
          <w:tab w:leader="none" w:pos="110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 xml:space="preserve">This Agreement may be amended as contemplated by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to effect New Commitments pursuant to a Joinder Agreement with the consent only of the Administrative Agent, the Borrower and the New Lenders providing New Commitments.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63" w:lineRule="exact"/>
        <w:rPr>
          <w:rFonts w:ascii="Arial" w:cs="Arial" w:eastAsia="Arial" w:hAnsi="Arial"/>
          <w:sz w:val="22"/>
          <w:szCs w:val="22"/>
          <w:color w:val="auto"/>
        </w:rPr>
      </w:pPr>
    </w:p>
    <w:p>
      <w:pPr>
        <w:jc w:val="both"/>
        <w:ind w:firstLine="656"/>
        <w:spacing w:after="0" w:line="234" w:lineRule="auto"/>
        <w:tabs>
          <w:tab w:leader="none" w:pos="112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9.07</w:t>
      </w:r>
      <w:r>
        <w:rPr>
          <w:rFonts w:ascii="Arial" w:cs="Arial" w:eastAsia="Arial" w:hAnsi="Arial"/>
          <w:sz w:val="21"/>
          <w:szCs w:val="21"/>
          <w:color w:val="auto"/>
        </w:rPr>
        <w:t xml:space="preserve">, no provision of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may be waived, amended or modified except pursuant to an agreement or agreements in writing entered into between the Administrative Agent and each Guarantor with respect to which such waiver, amendment or modification is to apply, in accordance with this </w:t>
      </w:r>
      <w:r>
        <w:rPr>
          <w:rFonts w:ascii="Arial" w:cs="Arial" w:eastAsia="Arial" w:hAnsi="Arial"/>
          <w:sz w:val="21"/>
          <w:szCs w:val="21"/>
          <w:u w:val="single" w:color="auto"/>
          <w:color w:val="auto"/>
        </w:rPr>
        <w:t>Section 10.02</w:t>
      </w:r>
      <w:r>
        <w:rPr>
          <w:rFonts w:ascii="Arial" w:cs="Arial" w:eastAsia="Arial" w:hAnsi="Arial"/>
          <w:sz w:val="21"/>
          <w:szCs w:val="21"/>
          <w:color w:val="auto"/>
        </w:rPr>
        <w:t>.</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tabs>
          <w:tab w:leader="none" w:pos="117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Borrower shall pay (i) all reasonable and documented out-of-pocket expenses incurred by the Administrative Agent and its Affiliates, including the reasonable and documented fees, disbursements and other charges of one firm of counsel for all such Persons taken as a whole (and, if reasonably necessary, of one local counsel in any relevant material jurisdiction to all such persons, taken as a whole and, solely in the case of a conflict of interest, one additional local counsel to all affected indemnified persons, taken as a whole, in each such relevant material jurisdiction)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(ii) costs, expenses, Taxes, assessments and other charges incurred by any Lender in connection with any filing, registration, recording, or perfection of any security interest contemplated by this Agreement, (iii) all reasonable out-of-pocket expenses incurred by any Issuing Bank in connection with the issuance, amendment, renewal or extension of any Letter of Credit or any demand for payment thereunder and (iv) all out-of-pocket expenses incurred by the Administrative Agent, any Issuing Bank or any Lender, including the fees, disbursements and other charges of one firm of counsel for all such Persons taken as a whole (and, if reasonably necessary, of one local counsel in any relevant material jurisdiction to all such persons, taken as a whole and, solely in the case of a conflict of interest, one additional local counsel to all affected indemnified persons, taken as a whole, in each such relevant material jurisdiction), in connection with the enforcement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71" w:lineRule="exact"/>
        <w:rPr>
          <w:rFonts w:ascii="Arial" w:cs="Arial" w:eastAsia="Arial" w:hAnsi="Arial"/>
          <w:sz w:val="19"/>
          <w:szCs w:val="19"/>
          <w:color w:val="auto"/>
        </w:rPr>
      </w:pPr>
    </w:p>
    <w:p>
      <w:pPr>
        <w:jc w:val="both"/>
        <w:ind w:firstLine="656"/>
        <w:spacing w:after="0" w:line="247" w:lineRule="auto"/>
        <w:tabs>
          <w:tab w:leader="none" w:pos="117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Each Loan Party, jointly and severally, shall indemnify the Administrative Agent, the Arrangers, any Issuing Bank and each Lender, and each Related Party, successor, partner, representative or assign of any of the foregoing Persons (each such Person being called an “</w:t>
      </w:r>
      <w:r>
        <w:rPr>
          <w:rFonts w:ascii="Arial" w:cs="Arial" w:eastAsia="Arial" w:hAnsi="Arial"/>
          <w:sz w:val="19"/>
          <w:szCs w:val="19"/>
          <w:b w:val="1"/>
          <w:bCs w:val="1"/>
          <w:color w:val="auto"/>
        </w:rPr>
        <w:t>Indemnitee</w:t>
      </w:r>
      <w:r>
        <w:rPr>
          <w:rFonts w:ascii="Arial" w:cs="Arial" w:eastAsia="Arial" w:hAnsi="Arial"/>
          <w:sz w:val="19"/>
          <w:szCs w:val="19"/>
          <w:color w:val="auto"/>
        </w:rPr>
        <w:t>”) against, and hold each Indemnitee harmless from, any and all losses, claims, damages, liabilities and related expenses, including the reasonable and documented out-of-pocket fees, charges and disbursements of one firm of counsel for all such Persons taken as a whole (and, if reasonably necessary, of one local counsel in any relevant material jurisdiction to all such persons, taken as a whole and, solely in the case of a conflict of interest, one additional local counsel to all affected indemnified persons, taken as a whole, in each such relevant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01" w:right="339" w:bottom="1440" w:gutter="0" w:footer="0" w:header="0"/>
        </w:sectPr>
      </w:pPr>
    </w:p>
    <w:bookmarkStart w:id="217" w:name="page218"/>
    <w:bookmarkEnd w:id="217"/>
    <w:p>
      <w:pPr>
        <w:jc w:val="both"/>
        <w:spacing w:after="0"/>
        <w:rPr>
          <w:sz w:val="20"/>
          <w:szCs w:val="20"/>
          <w:color w:val="auto"/>
        </w:rPr>
      </w:pPr>
      <w:r>
        <w:rPr>
          <w:rFonts w:ascii="Arial" w:cs="Arial" w:eastAsia="Arial" w:hAnsi="Arial"/>
          <w:sz w:val="19"/>
          <w:szCs w:val="19"/>
          <w:color w:val="auto"/>
        </w:rPr>
        <w:t xml:space="preserve">jurisdiction)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Parent or any of its Subsidiaries, or any Environmental Liability related in any way to the Parent or any of its Subsidiaries, or (iv) any actual or prospective claim, litigation, investigation or proceeding relating to any of the foregoing, whether or not such claim, litigation, investigation or proceeding is brought by the Parent, the Borrower or their respective equity holders, Affiliates, creditors or any other third Person and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(x) with respect to Taxes and amounts relating thereto (other than any Taxes that represent losses, claims, damages, etc. arising from any non-Tax claim), the indemnification for which shall be governed solely and exclusively by </w:t>
      </w:r>
      <w:r>
        <w:rPr>
          <w:rFonts w:ascii="Arial" w:cs="Arial" w:eastAsia="Arial" w:hAnsi="Arial"/>
          <w:sz w:val="19"/>
          <w:szCs w:val="19"/>
          <w:u w:val="single" w:color="auto"/>
          <w:color w:val="auto"/>
        </w:rPr>
        <w:t>Section 2.14</w:t>
      </w:r>
      <w:r>
        <w:rPr>
          <w:rFonts w:ascii="Arial" w:cs="Arial" w:eastAsia="Arial" w:hAnsi="Arial"/>
          <w:sz w:val="19"/>
          <w:szCs w:val="19"/>
          <w:color w:val="auto"/>
        </w:rPr>
        <w:t>, (y) to the extent that such losses, claims, damages, liabilities or related expenses are determined by a court of competent jurisdiction by final and non-appealable judgment to have resulted from the bad faith, gross negligence, willful misconduct or material breach of the Loan Documents by such Indemnitee or (z) to the extent that such losses, claims, damages, liabilities or related expenses arise from any proceeding that does not involve the Parent, the Borrower or any of their respective Affiliates and that is brought by an Indemnitee against any other Indemnitee, other than any proceeding against the Administrative Agent or any Arranger, in each case acting in such capacity.</w:t>
      </w:r>
    </w:p>
    <w:p>
      <w:pPr>
        <w:spacing w:after="0" w:line="382" w:lineRule="exact"/>
        <w:rPr>
          <w:sz w:val="20"/>
          <w:szCs w:val="20"/>
          <w:color w:val="auto"/>
        </w:rPr>
      </w:pPr>
    </w:p>
    <w:p>
      <w:pPr>
        <w:jc w:val="both"/>
        <w:ind w:firstLine="656"/>
        <w:spacing w:after="0" w:line="244" w:lineRule="auto"/>
        <w:tabs>
          <w:tab w:leader="none" w:pos="111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To the extent that the Borrower or any other Guarantor, as applicable, fails to pay any amount required to be paid by it to the Administrative Agent or any Issuing Bank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each Lender severally agrees to pay to the Administrative Agent and the applicable Issuing Bank,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such Issuing Bank in their capacity as such;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notwithstanding anything to the contrary herein, no Lender shall be liable for any portion of any such unreimbursed expenses or indemnified loss, claim, damage, liability or related expense, as the case may be, of the Administrative Agent and/or the Issuing Banks (or, in each case, any Affiliate thereof) as a result of the bad faith, gross negligence or willful misconduct of the relevant Person or Persons, as determined by a court of competent jurisdiction by a final or non-appealable judgment.</w:t>
      </w:r>
    </w:p>
    <w:p>
      <w:pPr>
        <w:spacing w:after="0" w:line="154" w:lineRule="exact"/>
        <w:rPr>
          <w:rFonts w:ascii="Arial" w:cs="Arial" w:eastAsia="Arial" w:hAnsi="Arial"/>
          <w:sz w:val="19"/>
          <w:szCs w:val="19"/>
          <w:color w:val="auto"/>
        </w:rPr>
      </w:pPr>
    </w:p>
    <w:p>
      <w:pPr>
        <w:jc w:val="both"/>
        <w:ind w:firstLine="656"/>
        <w:spacing w:after="0" w:line="246" w:lineRule="auto"/>
        <w:tabs>
          <w:tab w:leader="none" w:pos="112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Without limiting in any way the indemnification obligations of the Guarantors pursuant to </w:t>
      </w:r>
      <w:r>
        <w:rPr>
          <w:rFonts w:ascii="Arial" w:cs="Arial" w:eastAsia="Arial" w:hAnsi="Arial"/>
          <w:sz w:val="19"/>
          <w:szCs w:val="19"/>
          <w:u w:val="single" w:color="auto"/>
          <w:color w:val="auto"/>
        </w:rPr>
        <w:t>Section 10.03(b)</w:t>
      </w:r>
      <w:r>
        <w:rPr>
          <w:rFonts w:ascii="Arial" w:cs="Arial" w:eastAsia="Arial" w:hAnsi="Arial"/>
          <w:sz w:val="19"/>
          <w:szCs w:val="19"/>
          <w:color w:val="auto"/>
        </w:rPr>
        <w:t xml:space="preserve"> or of the Lenders pursuant to </w:t>
      </w:r>
      <w:r>
        <w:rPr>
          <w:rFonts w:ascii="Arial" w:cs="Arial" w:eastAsia="Arial" w:hAnsi="Arial"/>
          <w:sz w:val="19"/>
          <w:szCs w:val="19"/>
          <w:u w:val="single" w:color="auto"/>
          <w:color w:val="auto"/>
        </w:rPr>
        <w:t>Section 8.06</w:t>
      </w:r>
      <w:r>
        <w:rPr>
          <w:rFonts w:ascii="Arial" w:cs="Arial" w:eastAsia="Arial" w:hAnsi="Arial"/>
          <w:sz w:val="19"/>
          <w:szCs w:val="19"/>
          <w:color w:val="auto"/>
        </w:rPr>
        <w:t xml:space="preserve">, to the extent permitted by applicable law, each party hereto shall not assert, and hereby waives, any claim against any Indemnitee or the Borrower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clause (d) shall relieve any Guarantor of any obligation it may have to indemnify an Indemnitee against special, indirect, consequential or punitive damages asserted against such Indemnitee by a third party.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01" w:right="339" w:bottom="1440" w:gutter="0" w:footer="0" w:header="0"/>
        </w:sectPr>
      </w:pPr>
    </w:p>
    <w:bookmarkStart w:id="218" w:name="page219"/>
    <w:bookmarkEnd w:id="218"/>
    <w:p>
      <w:pPr>
        <w:jc w:val="both"/>
        <w:spacing w:after="0" w:line="252" w:lineRule="auto"/>
        <w:rPr>
          <w:sz w:val="20"/>
          <w:szCs w:val="20"/>
          <w:color w:val="auto"/>
        </w:rPr>
      </w:pPr>
      <w:r>
        <w:rPr>
          <w:rFonts w:ascii="Arial" w:cs="Arial" w:eastAsia="Arial" w:hAnsi="Arial"/>
          <w:sz w:val="19"/>
          <w:szCs w:val="19"/>
          <w:color w:val="auto"/>
        </w:rPr>
        <w:t>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49" w:lineRule="exact"/>
        <w:rPr>
          <w:sz w:val="20"/>
          <w:szCs w:val="20"/>
          <w:color w:val="auto"/>
        </w:rPr>
      </w:pPr>
    </w:p>
    <w:p>
      <w:pPr>
        <w:ind w:left="660" w:right="2160" w:hanging="4"/>
        <w:spacing w:after="0" w:line="409" w:lineRule="auto"/>
        <w:tabs>
          <w:tab w:leader="none" w:pos="111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All amounts due under this Section shall be payable promptly after written demand therefor. Section 10.04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 w:lineRule="exact"/>
        <w:rPr>
          <w:sz w:val="20"/>
          <w:szCs w:val="20"/>
          <w:color w:val="auto"/>
        </w:rPr>
      </w:pPr>
    </w:p>
    <w:p>
      <w:pPr>
        <w:jc w:val="both"/>
        <w:ind w:firstLine="656"/>
        <w:spacing w:after="0" w:line="219" w:lineRule="auto"/>
        <w:tabs>
          <w:tab w:leader="none" w:pos="12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The provisions of this Agreement shall be binding upon and inure to the benefit of the parties hereto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(ii) no Guarantor shall have the right to assign or transfer any of its rights or obligations hereunder or any interest herein (and any such assignment or transfer shall be void) except as expressly contemplated by this Agreement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(including any Affiliate of any Issuing Bank that issues any Letter of Credit), the Related Parties of each of the Administrative Agent, the Issuing Banks and the Lenders) any legal or equitable right, remedy or claim under or by reason of this Agreement.</w:t>
      </w:r>
    </w:p>
    <w:p>
      <w:pPr>
        <w:spacing w:after="0" w:line="163" w:lineRule="exact"/>
        <w:rPr>
          <w:rFonts w:ascii="Arial" w:cs="Arial" w:eastAsia="Arial" w:hAnsi="Arial"/>
          <w:sz w:val="21"/>
          <w:szCs w:val="21"/>
          <w:color w:val="auto"/>
        </w:rPr>
      </w:pPr>
    </w:p>
    <w:p>
      <w:pPr>
        <w:jc w:val="both"/>
        <w:ind w:firstLine="656"/>
        <w:spacing w:after="0" w:line="218" w:lineRule="auto"/>
        <w:tabs>
          <w:tab w:leader="none" w:pos="114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 Subject to the conditions set forth in paragraph (b)(ii) below, any Lender may assign to one or more assignees (but not to the Borrower or an Affiliate thereof)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60" w:lineRule="exact"/>
        <w:rPr>
          <w:rFonts w:ascii="Arial" w:cs="Arial" w:eastAsia="Arial" w:hAnsi="Arial"/>
          <w:sz w:val="22"/>
          <w:szCs w:val="22"/>
          <w:color w:val="auto"/>
        </w:rPr>
      </w:pPr>
    </w:p>
    <w:p>
      <w:pPr>
        <w:jc w:val="both"/>
        <w:ind w:left="660" w:firstLine="644"/>
        <w:spacing w:after="0" w:line="257" w:lineRule="auto"/>
        <w:tabs>
          <w:tab w:leader="none" w:pos="1855"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for an assignment to a Lender, an Affiliate of a Lender, an Approved Fund or, if an Event of Default has occurred and is continuing, any other assignee;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10 Business Days after having received notice thereof;</w:t>
      </w:r>
    </w:p>
    <w:p>
      <w:pPr>
        <w:spacing w:after="0" w:line="144" w:lineRule="exact"/>
        <w:rPr>
          <w:rFonts w:ascii="Arial" w:cs="Arial" w:eastAsia="Arial" w:hAnsi="Arial"/>
          <w:sz w:val="19"/>
          <w:szCs w:val="19"/>
          <w:color w:val="auto"/>
        </w:rPr>
      </w:pPr>
    </w:p>
    <w:p>
      <w:pPr>
        <w:jc w:val="both"/>
        <w:ind w:left="660" w:firstLine="644"/>
        <w:spacing w:after="0" w:line="223" w:lineRule="auto"/>
        <w:tabs>
          <w:tab w:leader="none" w:pos="191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of any Commitment to an assignee that is a Lender with a Commitment immediately prior to giving effect to such assignment, an Affiliate of a Lender, or an Approved Fund; and</w:t>
      </w:r>
    </w:p>
    <w:p>
      <w:pPr>
        <w:spacing w:after="0" w:line="158" w:lineRule="exact"/>
        <w:rPr>
          <w:rFonts w:ascii="Arial" w:cs="Arial" w:eastAsia="Arial" w:hAnsi="Arial"/>
          <w:sz w:val="22"/>
          <w:szCs w:val="22"/>
          <w:color w:val="auto"/>
        </w:rPr>
      </w:pPr>
    </w:p>
    <w:p>
      <w:pPr>
        <w:ind w:left="1800" w:hanging="496"/>
        <w:spacing w:after="0"/>
        <w:tabs>
          <w:tab w:leader="none" w:pos="180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each Issuing Bank.</w:t>
      </w:r>
    </w:p>
    <w:p>
      <w:pPr>
        <w:spacing w:after="0" w:line="179"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Assignments shall be subject to the following additional conditions:</w:t>
      </w:r>
    </w:p>
    <w:p>
      <w:pPr>
        <w:spacing w:after="0" w:line="179" w:lineRule="exact"/>
        <w:rPr>
          <w:sz w:val="20"/>
          <w:szCs w:val="20"/>
          <w:color w:val="auto"/>
        </w:rPr>
      </w:pPr>
    </w:p>
    <w:p>
      <w:pPr>
        <w:jc w:val="both"/>
        <w:ind w:left="660" w:firstLine="644"/>
        <w:spacing w:after="0" w:line="223" w:lineRule="auto"/>
        <w:tabs>
          <w:tab w:leader="none" w:pos="188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except in the case of an assignment to a Lender or an Affiliate of a Lender or an assignment of the entire remaining amount of the assigning Lender’s Commitment or Loans, the amount of the Commitment or Loans of the assigning Lender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01" w:right="339" w:bottom="1440" w:gutter="0" w:footer="0" w:header="0"/>
        </w:sectPr>
      </w:pPr>
    </w:p>
    <w:bookmarkStart w:id="219" w:name="page220"/>
    <w:bookmarkEnd w:id="219"/>
    <w:p>
      <w:pPr>
        <w:jc w:val="both"/>
        <w:ind w:left="660"/>
        <w:spacing w:after="0" w:line="257" w:lineRule="auto"/>
        <w:rPr>
          <w:sz w:val="20"/>
          <w:szCs w:val="20"/>
          <w:color w:val="auto"/>
        </w:rPr>
      </w:pPr>
      <w:r>
        <w:rPr>
          <w:rFonts w:ascii="Arial" w:cs="Arial" w:eastAsia="Arial" w:hAnsi="Arial"/>
          <w:sz w:val="19"/>
          <w:szCs w:val="19"/>
          <w:color w:val="auto"/>
        </w:rPr>
        <w:t xml:space="preserve">each such assignment (determined as of the date the Assignment and Assumption with respect to such assignment is delivered to the Administrative Agent) shall not be less than $5,000,000 (or a greater amount that is an integral multiple of $1,000,000) unless each of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has occurred and is continuing;</w:t>
      </w:r>
    </w:p>
    <w:p>
      <w:pPr>
        <w:spacing w:after="0" w:line="144" w:lineRule="exact"/>
        <w:rPr>
          <w:sz w:val="20"/>
          <w:szCs w:val="20"/>
          <w:color w:val="auto"/>
        </w:rPr>
      </w:pPr>
    </w:p>
    <w:p>
      <w:pPr>
        <w:ind w:left="660" w:firstLine="644"/>
        <w:spacing w:after="0" w:line="232" w:lineRule="auto"/>
        <w:tabs>
          <w:tab w:leader="none" w:pos="184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158" w:lineRule="exact"/>
        <w:rPr>
          <w:rFonts w:ascii="Arial" w:cs="Arial" w:eastAsia="Arial" w:hAnsi="Arial"/>
          <w:sz w:val="22"/>
          <w:szCs w:val="22"/>
          <w:color w:val="auto"/>
        </w:rPr>
      </w:pPr>
    </w:p>
    <w:p>
      <w:pPr>
        <w:ind w:left="660" w:firstLine="644"/>
        <w:spacing w:after="0" w:line="232" w:lineRule="auto"/>
        <w:tabs>
          <w:tab w:leader="none" w:pos="1917"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the Administrative Agent an Assignment and Assumption, together with a processing and recordation fee of $3,500;</w:t>
      </w:r>
    </w:p>
    <w:p>
      <w:pPr>
        <w:spacing w:after="0" w:line="158" w:lineRule="exact"/>
        <w:rPr>
          <w:rFonts w:ascii="Arial" w:cs="Arial" w:eastAsia="Arial" w:hAnsi="Arial"/>
          <w:sz w:val="22"/>
          <w:szCs w:val="22"/>
          <w:color w:val="auto"/>
        </w:rPr>
      </w:pPr>
    </w:p>
    <w:p>
      <w:pPr>
        <w:jc w:val="both"/>
        <w:ind w:left="660" w:firstLine="644"/>
        <w:spacing w:after="0" w:line="252" w:lineRule="auto"/>
        <w:tabs>
          <w:tab w:leader="none" w:pos="200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the Borrower and their respective Related Parties or their respective securities) will be made available and who may receive such information in accordance with the assignee’s compliance procedures and applicable laws, including Federal and state securities laws;</w:t>
      </w:r>
    </w:p>
    <w:p>
      <w:pPr>
        <w:spacing w:after="0" w:line="148" w:lineRule="exact"/>
        <w:rPr>
          <w:rFonts w:ascii="Arial" w:cs="Arial" w:eastAsia="Arial" w:hAnsi="Arial"/>
          <w:sz w:val="19"/>
          <w:szCs w:val="19"/>
          <w:color w:val="auto"/>
        </w:rPr>
      </w:pPr>
    </w:p>
    <w:p>
      <w:pPr>
        <w:jc w:val="both"/>
        <w:ind w:left="660" w:firstLine="644"/>
        <w:spacing w:after="0" w:line="223" w:lineRule="auto"/>
        <w:tabs>
          <w:tab w:leader="none" w:pos="191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no such assignment shall be made to (i) any Loan Party nor any Affiliate of a Loan Party, and (ii) any 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subsection (E)(ii)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60" w:firstLine="644"/>
        <w:spacing w:after="0" w:line="242" w:lineRule="auto"/>
        <w:tabs>
          <w:tab w:leader="none" w:pos="186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and</w:t>
      </w:r>
    </w:p>
    <w:p>
      <w:pPr>
        <w:spacing w:after="0" w:line="380" w:lineRule="exact"/>
        <w:rPr>
          <w:rFonts w:ascii="Arial" w:cs="Arial" w:eastAsia="Arial" w:hAnsi="Arial"/>
          <w:sz w:val="19"/>
          <w:szCs w:val="19"/>
          <w:color w:val="auto"/>
        </w:rPr>
      </w:pPr>
    </w:p>
    <w:p>
      <w:pPr>
        <w:jc w:val="both"/>
        <w:ind w:left="660" w:firstLine="644"/>
        <w:spacing w:after="0" w:line="222" w:lineRule="auto"/>
        <w:tabs>
          <w:tab w:leader="none" w:pos="1926" w:val="left"/>
        </w:tabs>
        <w:numPr>
          <w:ilvl w:val="0"/>
          <w:numId w:val="199"/>
        </w:numPr>
        <w:rPr>
          <w:rFonts w:ascii="Arial" w:cs="Arial" w:eastAsia="Arial" w:hAnsi="Arial"/>
          <w:sz w:val="21"/>
          <w:szCs w:val="21"/>
          <w:color w:val="auto"/>
        </w:rPr>
      </w:pPr>
      <w:r>
        <w:rPr>
          <w:rFonts w:ascii="Arial" w:cs="Arial" w:eastAsia="Arial" w:hAnsi="Arial"/>
          <w:sz w:val="21"/>
          <w:szCs w:val="21"/>
          <w:color w:val="auto"/>
        </w:rPr>
        <w:t xml:space="preserve">no assignment shall be made to any Disqualified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in this Agreement or any other Loan Document to the contrary, each Loan Party and the Lenders acknowledge and agree that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w:t>
      </w:r>
      <w:r>
        <w:rPr>
          <w:rFonts w:ascii="Arial" w:cs="Arial" w:eastAsia="Arial" w:hAnsi="Arial"/>
          <w:sz w:val="21"/>
          <w:szCs w:val="21"/>
          <w:u w:val="single" w:color="auto"/>
          <w:color w:val="auto"/>
        </w:rPr>
        <w:t>x</w:t>
      </w:r>
      <w:r>
        <w:rPr>
          <w:rFonts w:ascii="Arial" w:cs="Arial" w:eastAsia="Arial" w:hAnsi="Arial"/>
          <w:sz w:val="21"/>
          <w:szCs w:val="21"/>
          <w:color w:val="auto"/>
        </w:rPr>
        <w:t>) be obligated to ascertain, monitor or inquire as to whether any Lender or Participant or potential Lender or Participant is a Disqualified Lender or (</w:t>
      </w:r>
      <w:r>
        <w:rPr>
          <w:rFonts w:ascii="Arial" w:cs="Arial" w:eastAsia="Arial" w:hAnsi="Arial"/>
          <w:sz w:val="21"/>
          <w:szCs w:val="21"/>
          <w:u w:val="single" w:color="auto"/>
          <w:color w:val="auto"/>
        </w:rPr>
        <w:t>y</w:t>
      </w:r>
      <w:r>
        <w:rPr>
          <w:rFonts w:ascii="Arial" w:cs="Arial" w:eastAsia="Arial" w:hAnsi="Arial"/>
          <w:sz w:val="21"/>
          <w:szCs w:val="21"/>
          <w:color w:val="auto"/>
        </w:rPr>
        <w:t>) have any liability with respect to or arising out of any assignment or participation of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01" w:right="339" w:bottom="1440" w:gutter="0" w:footer="0" w:header="0"/>
        </w:sectPr>
      </w:pPr>
    </w:p>
    <w:bookmarkStart w:id="220" w:name="page221"/>
    <w:bookmarkEnd w:id="220"/>
    <w:p>
      <w:pPr>
        <w:ind w:left="660"/>
        <w:spacing w:after="0" w:line="232" w:lineRule="auto"/>
        <w:rPr>
          <w:sz w:val="20"/>
          <w:szCs w:val="20"/>
          <w:color w:val="auto"/>
        </w:rPr>
      </w:pPr>
      <w:r>
        <w:rPr>
          <w:rFonts w:ascii="Arial" w:cs="Arial" w:eastAsia="Arial" w:hAnsi="Arial"/>
          <w:sz w:val="22"/>
          <w:szCs w:val="22"/>
          <w:color w:val="auto"/>
        </w:rPr>
        <w:t>disclosure of confidential information, to, or the restrictions on any exercise of rights or remedies of, any Disqualified Lender.</w:t>
      </w:r>
    </w:p>
    <w:p>
      <w:pPr>
        <w:spacing w:after="0" w:line="159" w:lineRule="exact"/>
        <w:rPr>
          <w:sz w:val="20"/>
          <w:szCs w:val="20"/>
          <w:color w:val="auto"/>
        </w:rPr>
      </w:pPr>
    </w:p>
    <w:p>
      <w:pPr>
        <w:jc w:val="both"/>
        <w:ind w:firstLine="1304"/>
        <w:spacing w:after="0" w:line="219" w:lineRule="auto"/>
        <w:tabs>
          <w:tab w:leader="none" w:pos="1855" w:val="left"/>
        </w:tabs>
        <w:numPr>
          <w:ilvl w:val="1"/>
          <w:numId w:val="200"/>
        </w:numPr>
        <w:rPr>
          <w:rFonts w:ascii="Arial" w:cs="Arial" w:eastAsia="Arial" w:hAnsi="Arial"/>
          <w:sz w:val="21"/>
          <w:szCs w:val="21"/>
          <w:color w:val="auto"/>
        </w:rPr>
      </w:pPr>
      <w:r>
        <w:rPr>
          <w:rFonts w:ascii="Arial" w:cs="Arial" w:eastAsia="Arial" w:hAnsi="Arial"/>
          <w:sz w:val="21"/>
          <w:szCs w:val="21"/>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10.03)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63" w:lineRule="exact"/>
        <w:rPr>
          <w:rFonts w:ascii="Arial" w:cs="Arial" w:eastAsia="Arial" w:hAnsi="Arial"/>
          <w:sz w:val="21"/>
          <w:szCs w:val="21"/>
          <w:color w:val="auto"/>
        </w:rPr>
      </w:pPr>
    </w:p>
    <w:p>
      <w:pPr>
        <w:jc w:val="both"/>
        <w:ind w:firstLine="1304"/>
        <w:spacing w:after="0" w:line="244" w:lineRule="auto"/>
        <w:tabs>
          <w:tab w:leader="none" w:pos="1876"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amounts (including interest) on the Loans and LC Disbursements owing to, each Lender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 The Loans (including principal and interest) are registered obligations and the right, title, and interest of any Lender or its assigns in and to such Loans shall be transferable only upon notation of such transfer in the Register.</w:t>
      </w:r>
    </w:p>
    <w:p>
      <w:pPr>
        <w:spacing w:after="0" w:line="154" w:lineRule="exact"/>
        <w:rPr>
          <w:rFonts w:ascii="Arial" w:cs="Arial" w:eastAsia="Arial" w:hAnsi="Arial"/>
          <w:sz w:val="19"/>
          <w:szCs w:val="19"/>
          <w:color w:val="auto"/>
        </w:rPr>
      </w:pPr>
    </w:p>
    <w:p>
      <w:pPr>
        <w:jc w:val="both"/>
        <w:ind w:firstLine="1304"/>
        <w:spacing w:after="0" w:line="244" w:lineRule="auto"/>
        <w:tabs>
          <w:tab w:leader="none" w:pos="1819" w:val="left"/>
        </w:tabs>
        <w:numPr>
          <w:ilvl w:val="1"/>
          <w:numId w:val="200"/>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2.15(d)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8.06</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0" w:lineRule="exact"/>
        <w:rPr>
          <w:rFonts w:ascii="Arial" w:cs="Arial" w:eastAsia="Arial" w:hAnsi="Arial"/>
          <w:sz w:val="19"/>
          <w:szCs w:val="19"/>
          <w:color w:val="auto"/>
        </w:rPr>
      </w:pPr>
    </w:p>
    <w:p>
      <w:pPr>
        <w:jc w:val="both"/>
        <w:ind w:firstLine="656"/>
        <w:spacing w:after="0" w:line="214" w:lineRule="auto"/>
        <w:tabs>
          <w:tab w:leader="none" w:pos="112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 Any Lender may, without the consent of, or notice to, the Borrower or the Administrative Agent or any Issuing Bank, sell participations to one or more banks or other entities (but not to the Borrower, an Affiliate thereof or to a Disqualified Lender) (a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in all or a portion of such Lender’s rights and obligations under this Agreement (including all or a portion of its Commitment and the Loans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Lender’s obligations under this Agreement shall remain unchanged, (B) such Lender shall remain solely responsible to the other parties hereto for the performance of such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01" w:right="339" w:bottom="1440" w:gutter="0" w:footer="0" w:header="0"/>
        </w:sectPr>
      </w:pPr>
    </w:p>
    <w:bookmarkStart w:id="221" w:name="page222"/>
    <w:bookmarkEnd w:id="221"/>
    <w:p>
      <w:pPr>
        <w:jc w:val="both"/>
        <w:ind w:firstLine="8"/>
        <w:spacing w:after="0" w:line="244" w:lineRule="auto"/>
        <w:tabs>
          <w:tab w:leader="none" w:pos="361"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10.02(b)</w:t>
      </w:r>
      <w:r>
        <w:rPr>
          <w:rFonts w:ascii="Arial" w:cs="Arial" w:eastAsia="Arial" w:hAnsi="Arial"/>
          <w:sz w:val="19"/>
          <w:szCs w:val="19"/>
          <w:color w:val="auto"/>
        </w:rPr>
        <w:t xml:space="preserve"> that affects such Participant. Subject to paragraph (c)(ii) of this Section, the Borrower agrees that each Participant shall be entitled to the benefits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as though it were a Lender.</w:t>
      </w:r>
    </w:p>
    <w:p>
      <w:pPr>
        <w:spacing w:after="0" w:line="154" w:lineRule="exact"/>
        <w:rPr>
          <w:rFonts w:ascii="Arial" w:cs="Arial" w:eastAsia="Arial" w:hAnsi="Arial"/>
          <w:sz w:val="19"/>
          <w:szCs w:val="19"/>
          <w:color w:val="auto"/>
        </w:rPr>
      </w:pPr>
    </w:p>
    <w:p>
      <w:pPr>
        <w:jc w:val="both"/>
        <w:ind w:firstLine="1304"/>
        <w:spacing w:after="0" w:line="241" w:lineRule="auto"/>
        <w:tabs>
          <w:tab w:leader="none" w:pos="1906" w:val="left"/>
        </w:tabs>
        <w:numPr>
          <w:ilvl w:val="2"/>
          <w:numId w:val="202"/>
        </w:numPr>
        <w:rPr>
          <w:rFonts w:ascii="Arial" w:cs="Arial" w:eastAsia="Arial" w:hAnsi="Arial"/>
          <w:sz w:val="19"/>
          <w:szCs w:val="19"/>
          <w:color w:val="auto"/>
        </w:rPr>
      </w:pPr>
      <w:r>
        <w:rPr>
          <w:rFonts w:ascii="Arial" w:cs="Arial" w:eastAsia="Arial" w:hAnsi="Arial"/>
          <w:sz w:val="19"/>
          <w:szCs w:val="19"/>
          <w:color w:val="auto"/>
        </w:rPr>
        <w:t xml:space="preserve">A Participant shall not be entitled to receive any greater payment under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than the applicable Lender would have been entitled to receive with respect to the participation sold to such Participant except to the extent such entitlement to receive a greater payment results from a Change in Law requiring a payment under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that occurs after the Participant acquired the applicable participation. Participants entitled to the benefits of </w:t>
      </w:r>
      <w:r>
        <w:rPr>
          <w:rFonts w:ascii="Arial" w:cs="Arial" w:eastAsia="Arial" w:hAnsi="Arial"/>
          <w:sz w:val="19"/>
          <w:szCs w:val="19"/>
          <w:u w:val="single" w:color="auto"/>
          <w:color w:val="auto"/>
        </w:rPr>
        <w:t>Sections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are entitled to such benefits subject to the requirements and limitations therein, including the requirements under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u w:val="single" w:color="auto"/>
          <w:color w:val="auto"/>
        </w:rPr>
        <w:t>2.14(f)</w:t>
      </w:r>
      <w:r>
        <w:rPr>
          <w:rFonts w:ascii="Arial" w:cs="Arial" w:eastAsia="Arial" w:hAnsi="Arial"/>
          <w:sz w:val="19"/>
          <w:szCs w:val="19"/>
          <w:color w:val="auto"/>
        </w:rPr>
        <w:t xml:space="preserve"> (it being understood that the documentation required under </w:t>
      </w:r>
      <w:r>
        <w:rPr>
          <w:rFonts w:ascii="Arial" w:cs="Arial" w:eastAsia="Arial" w:hAnsi="Arial"/>
          <w:sz w:val="19"/>
          <w:szCs w:val="19"/>
          <w:u w:val="single" w:color="auto"/>
          <w:color w:val="auto"/>
        </w:rPr>
        <w:t>Section 2.14(f)</w:t>
      </w:r>
      <w:r>
        <w:rPr>
          <w:rFonts w:ascii="Arial" w:cs="Arial" w:eastAsia="Arial" w:hAnsi="Arial"/>
          <w:sz w:val="19"/>
          <w:szCs w:val="19"/>
          <w:color w:val="auto"/>
        </w:rPr>
        <w:t xml:space="preserve"> shall be delivered to the participating Lender).</w:t>
      </w:r>
    </w:p>
    <w:p>
      <w:pPr>
        <w:spacing w:after="0" w:line="195" w:lineRule="exact"/>
        <w:rPr>
          <w:rFonts w:ascii="Arial" w:cs="Arial" w:eastAsia="Arial" w:hAnsi="Arial"/>
          <w:sz w:val="19"/>
          <w:szCs w:val="19"/>
          <w:color w:val="auto"/>
        </w:rPr>
      </w:pPr>
    </w:p>
    <w:p>
      <w:pPr>
        <w:jc w:val="both"/>
        <w:ind w:firstLine="1304"/>
        <w:spacing w:after="0" w:line="242" w:lineRule="auto"/>
        <w:tabs>
          <w:tab w:leader="none" w:pos="1930" w:val="left"/>
        </w:tabs>
        <w:numPr>
          <w:ilvl w:val="2"/>
          <w:numId w:val="202"/>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(and,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4" w:lineRule="exact"/>
        <w:rPr>
          <w:rFonts w:ascii="Arial" w:cs="Arial" w:eastAsia="Arial" w:hAnsi="Arial"/>
          <w:sz w:val="19"/>
          <w:szCs w:val="19"/>
          <w:color w:val="auto"/>
        </w:rPr>
      </w:pPr>
    </w:p>
    <w:p>
      <w:pPr>
        <w:jc w:val="both"/>
        <w:ind w:firstLine="656"/>
        <w:spacing w:after="0" w:line="252" w:lineRule="auto"/>
        <w:tabs>
          <w:tab w:leader="none" w:pos="1257"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having jurisdiction over such Lender,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4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u w:val="single" w:color="auto"/>
          <w:color w:val="auto"/>
        </w:rPr>
        <w:t>Survival</w:t>
      </w:r>
      <w:r>
        <w:rPr>
          <w:rFonts w:ascii="Arial" w:cs="Arial" w:eastAsia="Arial" w:hAnsi="Arial"/>
          <w:sz w:val="21"/>
          <w:szCs w:val="21"/>
          <w:color w:val="auto"/>
        </w:rPr>
        <w:t>. All covenants, agreements, representations and warranties made by the Parent, the Borrower, or the Guarantors as applicable, herein and in the certificates or other instruments delivered in connection with or pursuant to this Agreement or any other Loan Document shall be considered to have been relied upon by the other parties hereto and shall survive the execution and delivery of this Agreement, the other Loan Documents and the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01" w:right="339" w:bottom="1440" w:gutter="0" w:footer="0" w:header="0"/>
        </w:sectPr>
      </w:pPr>
    </w:p>
    <w:bookmarkStart w:id="222" w:name="page223"/>
    <w:bookmarkEnd w:id="222"/>
    <w:p>
      <w:pPr>
        <w:jc w:val="both"/>
        <w:spacing w:after="0" w:line="244" w:lineRule="auto"/>
        <w:rPr>
          <w:sz w:val="20"/>
          <w:szCs w:val="20"/>
          <w:color w:val="auto"/>
        </w:rPr>
      </w:pPr>
      <w:r>
        <w:rPr>
          <w:rFonts w:ascii="Arial" w:cs="Arial" w:eastAsia="Arial" w:hAnsi="Arial"/>
          <w:sz w:val="19"/>
          <w:szCs w:val="19"/>
          <w:color w:val="auto"/>
        </w:rPr>
        <w:t xml:space="preserve">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or subject to any pending draw and so long as the Commitments have not expired or terminated.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shall survive and remain in full force and effect regardless of the consummation of the transactions contemplated hereby, the repayment of the Loans, the expiration or termination of the Letters of Credit and the Commitments, the resignation of the Administrative Agent, the replacement of any Lender, or the termination of this Agreement or any provision hereof.</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3" w:lineRule="auto"/>
        <w:tabs>
          <w:tab w:leader="none" w:pos="1139"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379" w:lineRule="exact"/>
        <w:rPr>
          <w:rFonts w:ascii="Arial" w:cs="Arial" w:eastAsia="Arial" w:hAnsi="Arial"/>
          <w:sz w:val="19"/>
          <w:szCs w:val="19"/>
          <w:color w:val="auto"/>
        </w:rPr>
      </w:pPr>
    </w:p>
    <w:p>
      <w:pPr>
        <w:ind w:left="1140" w:hanging="484"/>
        <w:spacing w:after="0"/>
        <w:tabs>
          <w:tab w:leader="none" w:pos="11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Loan Document and/or</w:t>
      </w:r>
    </w:p>
    <w:p>
      <w:pPr>
        <w:spacing w:after="0" w:line="15" w:lineRule="exact"/>
        <w:rPr>
          <w:rFonts w:ascii="Arial" w:cs="Arial" w:eastAsia="Arial" w:hAnsi="Arial"/>
          <w:sz w:val="19"/>
          <w:szCs w:val="19"/>
          <w:color w:val="auto"/>
        </w:rPr>
      </w:pPr>
    </w:p>
    <w:p>
      <w:pPr>
        <w:jc w:val="both"/>
        <w:ind w:firstLine="8"/>
        <w:spacing w:after="0" w:line="239" w:lineRule="auto"/>
        <w:tabs>
          <w:tab w:leader="none" w:pos="295"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any document, amendment, approval, consent, information, notice (including, for the avoidance of doubt, any notice delivered pursuant to </w:t>
      </w:r>
      <w:r>
        <w:rPr>
          <w:rFonts w:ascii="Arial" w:cs="Arial" w:eastAsia="Arial" w:hAnsi="Arial"/>
          <w:sz w:val="19"/>
          <w:szCs w:val="19"/>
          <w:u w:val="single" w:color="auto"/>
          <w:color w:val="auto"/>
        </w:rPr>
        <w:t>Section 10.01</w:t>
      </w:r>
      <w:r>
        <w:rPr>
          <w:rFonts w:ascii="Arial" w:cs="Arial" w:eastAsia="Arial" w:hAnsi="Arial"/>
          <w:sz w:val="19"/>
          <w:szCs w:val="19"/>
          <w:color w:val="auto"/>
        </w:rPr>
        <w:t>), certificate, request, statement, disclosure or authorization related to this Agreement, any other Loan Document and/or the transactions contemplated hereby and/or thereby (each an “</w:t>
      </w:r>
      <w:r>
        <w:rPr>
          <w:rFonts w:ascii="Arial" w:cs="Arial" w:eastAsia="Arial" w:hAnsi="Arial"/>
          <w:sz w:val="19"/>
          <w:szCs w:val="19"/>
          <w:b w:val="1"/>
          <w:bCs w:val="1"/>
          <w:color w:val="auto"/>
        </w:rPr>
        <w:t>Ancillary Document</w:t>
      </w:r>
      <w:r>
        <w:rPr>
          <w:rFonts w:ascii="Arial" w:cs="Arial" w:eastAsia="Arial" w:hAnsi="Arial"/>
          <w:sz w:val="19"/>
          <w:szCs w:val="19"/>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01" w:right="339" w:bottom="1440" w:gutter="0" w:footer="0" w:header="0"/>
        </w:sectPr>
      </w:pPr>
    </w:p>
    <w:bookmarkStart w:id="223" w:name="page224"/>
    <w:bookmarkEnd w:id="223"/>
    <w:p>
      <w:pPr>
        <w:jc w:val="both"/>
        <w:spacing w:after="0" w:line="241" w:lineRule="auto"/>
        <w:rPr>
          <w:sz w:val="20"/>
          <w:szCs w:val="20"/>
          <w:color w:val="auto"/>
        </w:rPr>
      </w:pPr>
      <w:r>
        <w:rPr>
          <w:rFonts w:ascii="Arial" w:cs="Arial" w:eastAsia="Arial" w:hAnsi="Arial"/>
          <w:sz w:val="19"/>
          <w:szCs w:val="19"/>
          <w:color w:val="auto"/>
        </w:rPr>
        <w:t>foregoing, the Borrower and each Loan Party hereby (A) agree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agree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 any claim against any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37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Section 10.07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9.08</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6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by, and other obligations (in whatever currency)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Notwithstanding the foregoing, to the extent prohibited by applicable law as described in the definition of “Excluded Swap Obligation,” no amounts received from, or set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01" w:right="3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with respect to, any Guarantor shall be applied to any Excluded Swap Obligations of such Guarantor.</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10.09</w:t>
      </w:r>
      <w:r>
        <w:rPr>
          <w:sz w:val="20"/>
          <w:szCs w:val="20"/>
          <w:color w:val="auto"/>
        </w:rPr>
        <w:tab/>
      </w:r>
      <w:r>
        <w:rPr>
          <w:rFonts w:ascii="Arial" w:cs="Arial" w:eastAsia="Arial" w:hAnsi="Arial"/>
          <w:sz w:val="19"/>
          <w:szCs w:val="19"/>
          <w:u w:val="single" w:color="auto"/>
          <w:color w:val="auto"/>
        </w:rPr>
        <w:t>Governing Law; Jurisdiction; Consent to Service of Process</w:t>
      </w:r>
      <w:r>
        <w:rPr>
          <w:rFonts w:ascii="Arial" w:cs="Arial" w:eastAsia="Arial" w:hAnsi="Arial"/>
          <w:sz w:val="19"/>
          <w:szCs w:val="19"/>
          <w:color w:val="auto"/>
        </w:rPr>
        <w:t>.</w:t>
      </w:r>
    </w:p>
    <w:p>
      <w:pPr>
        <w:spacing w:after="0" w:line="179" w:lineRule="exact"/>
        <w:rPr>
          <w:sz w:val="20"/>
          <w:szCs w:val="20"/>
          <w:color w:val="auto"/>
        </w:rPr>
      </w:pPr>
    </w:p>
    <w:p>
      <w:pPr>
        <w:ind w:left="1120" w:hanging="464"/>
        <w:spacing w:after="0"/>
        <w:tabs>
          <w:tab w:leader="none" w:pos="112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This Agreement shall be construed in accordance with and governed by the law of the State of New York.</w:t>
      </w:r>
    </w:p>
    <w:p>
      <w:pPr>
        <w:spacing w:after="0" w:line="190" w:lineRule="exact"/>
        <w:rPr>
          <w:rFonts w:ascii="Arial" w:cs="Arial" w:eastAsia="Arial" w:hAnsi="Arial"/>
          <w:sz w:val="21"/>
          <w:szCs w:val="21"/>
          <w:color w:val="auto"/>
        </w:rPr>
      </w:pPr>
    </w:p>
    <w:p>
      <w:pPr>
        <w:jc w:val="both"/>
        <w:ind w:firstLine="656"/>
        <w:spacing w:after="0" w:line="219" w:lineRule="auto"/>
        <w:tabs>
          <w:tab w:leader="none" w:pos="112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submits, for itself and its property, to the exclusive jurisdiction of any Federal court of the United States of America sitting in New York County, Borough of Manhattan (or, in the event such court lacks subject matter jurisdiction, the Supreme Court of the State of New York sitting in New York County,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any Guarantor or its properties in the courts of any jurisdiction.</w:t>
      </w:r>
    </w:p>
    <w:p>
      <w:pPr>
        <w:spacing w:after="0" w:line="168" w:lineRule="exact"/>
        <w:rPr>
          <w:rFonts w:ascii="Arial" w:cs="Arial" w:eastAsia="Arial" w:hAnsi="Arial"/>
          <w:sz w:val="21"/>
          <w:szCs w:val="21"/>
          <w:color w:val="auto"/>
        </w:rPr>
      </w:pPr>
    </w:p>
    <w:p>
      <w:pPr>
        <w:jc w:val="both"/>
        <w:ind w:firstLine="656"/>
        <w:spacing w:after="0" w:line="216" w:lineRule="auto"/>
        <w:tabs>
          <w:tab w:leader="none" w:pos="118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22"/>
          <w:szCs w:val="22"/>
          <w:color w:val="auto"/>
        </w:rPr>
      </w:pPr>
    </w:p>
    <w:p>
      <w:pPr>
        <w:jc w:val="both"/>
        <w:ind w:firstLine="656"/>
        <w:spacing w:after="0" w:line="223" w:lineRule="auto"/>
        <w:tabs>
          <w:tab w:leader="none" w:pos="124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10.01</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01" w:right="339" w:bottom="1440" w:gutter="0" w:footer="0" w:header="0"/>
        </w:sectPr>
      </w:pPr>
    </w:p>
    <w:bookmarkStart w:id="225" w:name="page226"/>
    <w:bookmarkEnd w:id="225"/>
    <w:p>
      <w:pPr>
        <w:ind w:left="660"/>
        <w:spacing w:after="0"/>
        <w:tabs>
          <w:tab w:leader="none" w:pos="2040" w:val="left"/>
        </w:tabs>
        <w:rPr>
          <w:sz w:val="20"/>
          <w:szCs w:val="20"/>
          <w:color w:val="auto"/>
        </w:rPr>
      </w:pPr>
      <w:r>
        <w:rPr>
          <w:rFonts w:ascii="Arial" w:cs="Arial" w:eastAsia="Arial" w:hAnsi="Arial"/>
          <w:sz w:val="22"/>
          <w:szCs w:val="22"/>
          <w:color w:val="auto"/>
        </w:rPr>
        <w:t>Section 10.12</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tabs>
          <w:tab w:leader="none" w:pos="1168"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Each of the Administrative Agent, the Issuing Banks and the Lenders agrees to maintain the confidentiality of the Information (as defined below) and to not use the Information for any purpose except in connection with the Loan Documents, except that Information may be disclosed (i) to its and its Affiliates’ directors, officers, employees, and agents, including accountants, legal counsel and other professionals, experts or advisors, or to any credit insurance provider relating to the Borrower and its obligations, in each case whom it reasonably determines needs to know such information in connection with this Agreement and the transactions contemplated hereby and who are informed of the confidential nature of such Information and instructed to keep such Information confidential, (ii) to the extent requested by any regulatory authority, examiner regulating banks or banking, or other self-regulatory authority having oversight over the Administrative Agent, any Issuing Bank, any Lender or any of their respective Affiliates, (iii) pursuant to the order of any court or administrative agency or in any pending legal, judicial or administrative proceeding, or otherwise as required by applicable laws or regulations or by any subpoena or similar legal process based on the advice of counsel (in which case the Administrative Agent, such Issuing Bank or such Lender, as applicable, agrees, to the extent permitted by applicable law, to inform the Borrower promptly thereof), (iv) 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prospective Participant in, any of its rights or obligations under this Agreement, or (B) any actual or prospective counterparty (or its advisors) to any swap or derivative transaction relating to the Borrower and its obligations, (vii) with the consent of the Borrower, (viii) to the extent such Information (A) becomes publicly available other than as a result of a breach of this Section, (B) becomes available to the Administrative Agent, any Issuing Bank or any Lender on a nonconfidential basis from a source other than the Borrower or (C) is independently developed by the Administrative Agent, an Issuing Bank or a Lender without use of or reference to any such confidential information and otherwise without violating this </w:t>
      </w:r>
      <w:r>
        <w:rPr>
          <w:rFonts w:ascii="Arial" w:cs="Arial" w:eastAsia="Arial" w:hAnsi="Arial"/>
          <w:sz w:val="19"/>
          <w:szCs w:val="19"/>
          <w:u w:val="single" w:color="auto"/>
          <w:color w:val="auto"/>
        </w:rPr>
        <w:t>Section 10.12</w:t>
      </w:r>
      <w:r>
        <w:rPr>
          <w:rFonts w:ascii="Arial" w:cs="Arial" w:eastAsia="Arial" w:hAnsi="Arial"/>
          <w:sz w:val="19"/>
          <w:szCs w:val="19"/>
          <w:color w:val="auto"/>
        </w:rPr>
        <w:t>, (ix) on a confidential basis to any rating agency in connection with rating the Borrower or any of its Subsidiaries or the Loans hereunder, (x) to the CUSIP bureau, solely to the extent such confidential information is necessary to obtain CUSIP numbers and in consultation with the Borrower or (xi) for purposes of establishing a “due diligence” defense. In addition, the Administrative Agent, the Issuing Banks and the Lenders may disclose the existence of this Agreement and information about this Agreement to market data collectors, similar service providers to the lending industry and service providers to the Administrative Agent, the Issuing Banks and the Lenders in connection with the administration of this Agreement, the other Loan Documents, the Letters of Credit and the Loans. For the purposes of this Section, “</w:t>
      </w:r>
      <w:r>
        <w:rPr>
          <w:rFonts w:ascii="Arial" w:cs="Arial" w:eastAsia="Arial" w:hAnsi="Arial"/>
          <w:sz w:val="19"/>
          <w:szCs w:val="19"/>
          <w:b w:val="1"/>
          <w:bCs w:val="1"/>
          <w:color w:val="auto"/>
        </w:rPr>
        <w:t>Information</w:t>
      </w:r>
      <w:r>
        <w:rPr>
          <w:rFonts w:ascii="Arial" w:cs="Arial" w:eastAsia="Arial" w:hAnsi="Arial"/>
          <w:sz w:val="19"/>
          <w:szCs w:val="19"/>
          <w:color w:val="auto"/>
        </w:rPr>
        <w:t>” means all memoranda or other information received from or on behalf of the Parent, the Borrower or any of its Subsidiary relating to the Parent, the Borrower or any Subsidiary or any of their respective business that is identified by the Borrower as confidential, other than any such information that is available to the Administrative Agent, any Issuing Bank or any Lender on a nonconfidential basis prior to disclosure by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firstLine="656"/>
        <w:spacing w:after="0" w:line="229" w:lineRule="auto"/>
        <w:tabs>
          <w:tab w:leader="none" w:pos="150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EACH LENDER ACKNOWLEDGES THAT INFORMATION AS DEFINED IN </w:t>
      </w:r>
      <w:r>
        <w:rPr>
          <w:rFonts w:ascii="Arial" w:cs="Arial" w:eastAsia="Arial" w:hAnsi="Arial"/>
          <w:sz w:val="21"/>
          <w:szCs w:val="21"/>
          <w:u w:val="single" w:color="auto"/>
          <w:color w:val="auto"/>
        </w:rPr>
        <w:t>SECTION 10.12(A)</w:t>
      </w:r>
      <w:r>
        <w:rPr>
          <w:rFonts w:ascii="Arial" w:cs="Arial" w:eastAsia="Arial" w:hAnsi="Arial"/>
          <w:sz w:val="21"/>
          <w:szCs w:val="21"/>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01" w:right="339" w:bottom="1440" w:gutter="0" w:footer="0" w:header="0"/>
        </w:sectPr>
      </w:pPr>
    </w:p>
    <w:bookmarkStart w:id="226" w:name="page227"/>
    <w:bookmarkEnd w:id="226"/>
    <w:p>
      <w:pPr>
        <w:jc w:val="both"/>
        <w:spacing w:after="0" w:line="223" w:lineRule="auto"/>
        <w:rPr>
          <w:sz w:val="20"/>
          <w:szCs w:val="20"/>
          <w:color w:val="auto"/>
        </w:rPr>
      </w:pPr>
      <w:r>
        <w:rPr>
          <w:rFonts w:ascii="Arial" w:cs="Arial" w:eastAsia="Arial" w:hAnsi="Arial"/>
          <w:sz w:val="22"/>
          <w:szCs w:val="22"/>
          <w:color w:val="auto"/>
        </w:rPr>
        <w:t>MATERIAL NON-PUBLIC INFORMATION AND THAT IT WILL HANDLE SUCH MATERIAL NON-PUBLIC INFORMATION IN ACCORDANCE WITH THOSE PROCEDURES AND APPLICABLE LAW, INCLUDING FEDERAL AND STATE SECURITIES LAWS.</w:t>
      </w:r>
    </w:p>
    <w:p>
      <w:pPr>
        <w:spacing w:after="0" w:line="159" w:lineRule="exact"/>
        <w:rPr>
          <w:sz w:val="20"/>
          <w:szCs w:val="20"/>
          <w:color w:val="auto"/>
        </w:rPr>
      </w:pPr>
    </w:p>
    <w:p>
      <w:pPr>
        <w:jc w:val="both"/>
        <w:ind w:firstLine="656"/>
        <w:spacing w:after="0" w:line="211" w:lineRule="auto"/>
        <w:tabs>
          <w:tab w:leader="none" w:pos="111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6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Section 10.13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21"/>
          <w:szCs w:val="21"/>
          <w:b w:val="1"/>
          <w:bCs w:val="1"/>
          <w:color w:val="auto"/>
        </w:rPr>
        <w:t>Charges</w:t>
      </w:r>
      <w:r>
        <w:rPr>
          <w:rFonts w:ascii="Arial" w:cs="Arial" w:eastAsia="Arial" w:hAnsi="Arial"/>
          <w:sz w:val="21"/>
          <w:szCs w:val="21"/>
          <w:color w:val="auto"/>
        </w:rPr>
        <w:t>”), shall exceed the maximum lawful rate (the “</w:t>
      </w:r>
      <w:r>
        <w:rPr>
          <w:rFonts w:ascii="Arial" w:cs="Arial" w:eastAsia="Arial" w:hAnsi="Arial"/>
          <w:sz w:val="21"/>
          <w:szCs w:val="21"/>
          <w:b w:val="1"/>
          <w:bCs w:val="1"/>
          <w:color w:val="auto"/>
        </w:rPr>
        <w:t>Maximum Rate</w:t>
      </w:r>
      <w:r>
        <w:rPr>
          <w:rFonts w:ascii="Arial" w:cs="Arial" w:eastAsia="Arial" w:hAnsi="Arial"/>
          <w:sz w:val="21"/>
          <w:szCs w:val="21"/>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the Parent and the Borrower acknowledge and agree, and acknowledge their respective Subsidiaries’ understanding, that: (a) (i) the arranging and other services regarding this Agreement provided by the Administrative Agent, the Arrangers, the Syndication Agent, the Documentation Agents, the Issuing Banks and the Lenders are arm’s-length commercial transactions between the Parent, the Borrower and their respective Affiliates, on the one hand, and the Administrative Agent, the Arrangers, the Syndication Agent, the Documentation Agents, the Issuing Banks and the Lenders, on the other hand, (ii) each of the Parent and the Borrower has consulted its own legal, accounting, regulatory and tax advisors to the extent it has deemed appropriate, and</w:t>
      </w:r>
    </w:p>
    <w:p>
      <w:pPr>
        <w:spacing w:after="0" w:line="5" w:lineRule="exact"/>
        <w:rPr>
          <w:sz w:val="20"/>
          <w:szCs w:val="20"/>
          <w:color w:val="auto"/>
        </w:rPr>
      </w:pPr>
    </w:p>
    <w:p>
      <w:pPr>
        <w:jc w:val="both"/>
        <w:ind w:firstLine="8"/>
        <w:spacing w:after="0" w:line="241" w:lineRule="auto"/>
        <w:tabs>
          <w:tab w:leader="none" w:pos="38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each of the Parent and the Borrower is capable of evaluating, and understands and accepts, the terms, risks and conditions of the Transactions contemplated hereby and by the other Loan Documents; (b) (i) each of the Administrative Agent, the Arrangers, the Syndication Agent, the Documentation Agents, the Issuing Banks and the Lenders is and has been acting solely as a principal and, except as expressly agreed in writing by the relevant parties, has not been, is not, and will not be acting as an advisor, agent or fiduciary for the Parent, the Borrower or any of their respective Subsidiaries, or any other Person and (ii) neither the Administrative Agent, any Arranger, the Syndication Agent, any Documentation Agent, any Issuing Bank, nor any Lender has any obligation to the Parent, the Borrower or any of their respective Affiliates with respect to the Transactions contemplated hereby except those obligations expressly set forth herein and in the other Loan Documents; and (c) the Administrative Agent, the Arrangers, the Syndication Agent, the Documentation Agents, the Issuing Banks and the Lenders and their respective Affiliates may be engaged in a broad range of transactions that involve interests that differ from those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01" w:right="339" w:bottom="1440" w:gutter="0" w:footer="0" w:header="0"/>
        </w:sectPr>
      </w:pPr>
    </w:p>
    <w:bookmarkStart w:id="227" w:name="page228"/>
    <w:bookmarkEnd w:id="227"/>
    <w:p>
      <w:pPr>
        <w:jc w:val="both"/>
        <w:spacing w:after="0" w:line="212" w:lineRule="auto"/>
        <w:rPr>
          <w:sz w:val="20"/>
          <w:szCs w:val="20"/>
          <w:color w:val="auto"/>
        </w:rPr>
      </w:pPr>
      <w:r>
        <w:rPr>
          <w:rFonts w:ascii="Arial" w:cs="Arial" w:eastAsia="Arial" w:hAnsi="Arial"/>
          <w:sz w:val="22"/>
          <w:szCs w:val="22"/>
          <w:color w:val="auto"/>
        </w:rPr>
        <w:t>Parent, the Borrower and their respective Affiliates, and neither the Administrative Agent, any Arranger, the Syndication Agent, any Documentation Agent, any Issuing Bank, nor any Lender has any obligation to disclose any of such interests to the Borrower or its Affiliates. Each of the Parent and the Borrower, on behalf of itself and each of its Subsidiaries, agrees that nothing in the Loan Documents or otherwise will be deemed to create an advisory, fiduciary or agency relationship or fiduciary or other implied duty between the Administrative Agent, any Arranger, the Syndication Agent, any Documentation Agent, any Issuing Bank or any Lender, on the one hand, and the Parent, the Borrower, any of their respective Subsidiaries, or their respective stockholders or affiliates, on the other.</w:t>
      </w:r>
    </w:p>
    <w:p>
      <w:pPr>
        <w:spacing w:after="0" w:line="16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u w:val="single" w:color="auto"/>
          <w:color w:val="auto"/>
        </w:rPr>
        <w:t>Electronic Execution of Assignments and Certain Other Documents</w:t>
      </w:r>
      <w:r>
        <w:rPr>
          <w:rFonts w:ascii="Arial" w:cs="Arial" w:eastAsia="Arial" w:hAnsi="Arial"/>
          <w:sz w:val="19"/>
          <w:szCs w:val="19"/>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 xml:space="preserve">Section 10.16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and each Issuing Bank that is subject to the requirements of the USA Patriot Act hereby notifies the Borrower and each Guarantor that pursuant to the requirements of the USA Patriot Act, it is required to obtain, verify and record information that identifies the Borrower and each Guarantor, which information includes the name and address of the Borrower and each Guarantor and other information that will allow such Lender or such Issuing Bank to identify the Borrower and each Guarantor in accordance with the USA Patriot Act. The Borrower and each Guarantor shall, promptly following a request by the Administrative Agent, any Issuing Bank or any Lender, provide all documentation and other information that the Administrative Agent, such Issuing Bank or such Lender requests in order to comply with its ongoing obligations under applicable “know your customer” and anti-money laundering rules and regulations, including the USA Patriot Act.</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u w:val="single" w:color="auto"/>
          <w:color w:val="auto"/>
        </w:rPr>
        <w:t>Releases of Guarantors and Liens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1" w:lineRule="auto"/>
        <w:tabs>
          <w:tab w:leader="none" w:pos="1209"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 the event that (i) all the Equity Interests in any Guarantor are sold, transferred or otherwise disposed of to a Person other than the Borrower or its Subsidiaries in a transaction permitted under this Agreement, or (ii) a Guarantor ceases to be a Subsidiary or becomes an Excluded Subsidiary (including as a result of any Change in Law that could reasonably be expected to result in adverse tax consequences and which the Borrower has determined shall become an Excluded Subsidiary in accordance with the definition thereof and has notified the Administrative Agent), then (x) such Guarantor shall be immediately, automatically and irrevocably released from its guarantee under the Loan Documents without any action of any Person and (y) the Administrative Agent shall, at the Borrower’s expense, promptly take such action and execute such documents as the Borrower may reasonably request to terminate the guarantee of such Guarantor and to release the Collateral owned by such Guarantor from the Liens created by the Security Documents.</w:t>
      </w:r>
    </w:p>
    <w:p>
      <w:pPr>
        <w:spacing w:after="0" w:line="158" w:lineRule="exact"/>
        <w:rPr>
          <w:rFonts w:ascii="Arial" w:cs="Arial" w:eastAsia="Arial" w:hAnsi="Arial"/>
          <w:sz w:val="21"/>
          <w:szCs w:val="21"/>
          <w:color w:val="auto"/>
        </w:rPr>
      </w:pPr>
    </w:p>
    <w:p>
      <w:pPr>
        <w:jc w:val="both"/>
        <w:ind w:firstLine="656"/>
        <w:spacing w:after="0" w:line="214" w:lineRule="auto"/>
        <w:tabs>
          <w:tab w:leader="none" w:pos="117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If (i) any of the Collateral shall be sold, transferred or otherwise disposed of by any Loan Party to a Person other than the Borrower or its Subsidiaries in a transaction permitted under </w:t>
      </w:r>
      <w:r>
        <w:rPr>
          <w:rFonts w:ascii="Arial" w:cs="Arial" w:eastAsia="Arial" w:hAnsi="Arial"/>
          <w:sz w:val="22"/>
          <w:szCs w:val="22"/>
          <w:u w:val="single" w:color="auto"/>
          <w:color w:val="auto"/>
        </w:rPr>
        <w:t>Section 6.09</w:t>
      </w:r>
      <w:r>
        <w:rPr>
          <w:rFonts w:ascii="Arial" w:cs="Arial" w:eastAsia="Arial" w:hAnsi="Arial"/>
          <w:sz w:val="22"/>
          <w:szCs w:val="22"/>
          <w:color w:val="auto"/>
        </w:rPr>
        <w:t xml:space="preserve"> of this Agreement, (ii) any of the Collateral constitutes or becomes Excluded Property, (iii) any of the Collateral is owned by a Guarantor that is released from the Guaranty in accordance with the terms hereof or (iv) otherwise approved, authorized or ratified in writing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10.02</w:t>
      </w:r>
      <w:r>
        <w:rPr>
          <w:rFonts w:ascii="Arial" w:cs="Arial" w:eastAsia="Arial" w:hAnsi="Arial"/>
          <w:sz w:val="22"/>
          <w:szCs w:val="22"/>
          <w:color w:val="auto"/>
        </w:rPr>
        <w:t>, then (x) the Lien on such Collateral in favor of the Administrative Agent pursuant to the Loan Documents shall be immediately, automatically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01" w:right="339" w:bottom="1440" w:gutter="0" w:footer="0" w:header="0"/>
        </w:sectPr>
      </w:pPr>
    </w:p>
    <w:bookmarkStart w:id="228" w:name="page229"/>
    <w:bookmarkEnd w:id="228"/>
    <w:p>
      <w:pPr>
        <w:jc w:val="both"/>
        <w:spacing w:after="0" w:line="223" w:lineRule="auto"/>
        <w:rPr>
          <w:sz w:val="20"/>
          <w:szCs w:val="20"/>
          <w:color w:val="auto"/>
        </w:rPr>
      </w:pPr>
      <w:r>
        <w:rPr>
          <w:rFonts w:ascii="Arial" w:cs="Arial" w:eastAsia="Arial" w:hAnsi="Arial"/>
          <w:sz w:val="22"/>
          <w:szCs w:val="22"/>
          <w:color w:val="auto"/>
        </w:rPr>
        <w:t>irrevocably terminated and released without any action of any Person and (y) the Administrative Agent shall, at the Borrower’s expense, promptly take such action and execute such documents as the Borrower may reasonably request to release the Liens created by the Security Documents on such Collateral.</w:t>
      </w:r>
    </w:p>
    <w:p>
      <w:pPr>
        <w:spacing w:after="0" w:line="159" w:lineRule="exact"/>
        <w:rPr>
          <w:sz w:val="20"/>
          <w:szCs w:val="20"/>
          <w:color w:val="auto"/>
        </w:rPr>
      </w:pPr>
    </w:p>
    <w:p>
      <w:pPr>
        <w:jc w:val="both"/>
        <w:ind w:firstLine="656"/>
        <w:spacing w:after="0" w:line="247" w:lineRule="auto"/>
        <w:tabs>
          <w:tab w:leader="none" w:pos="112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At such time as all Obligations (including unreimbursed LC Disbursements, but excluding contingent obligations as to which no claim has been asserted) have been paid in full and all Commitments have terminated or expired and no Letter of Credit shall be outstanding or subject to any pending draw (or otherwise Cash Collateralized or backstopped or deemed reissued under another agreement reasonably acceptable to the applicable Issuing Bank),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spacing w:after="0" w:line="153" w:lineRule="exact"/>
        <w:rPr>
          <w:rFonts w:ascii="Arial" w:cs="Arial" w:eastAsia="Arial" w:hAnsi="Arial"/>
          <w:sz w:val="19"/>
          <w:szCs w:val="19"/>
          <w:color w:val="auto"/>
        </w:rPr>
      </w:pPr>
    </w:p>
    <w:p>
      <w:pPr>
        <w:jc w:val="both"/>
        <w:ind w:firstLine="656"/>
        <w:spacing w:after="0" w:line="246" w:lineRule="auto"/>
        <w:tabs>
          <w:tab w:leader="none" w:pos="132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The Administrative Agent may subordinate or release any Lien on any property granted to or held by the Administrative Agent under any Loan Document to the holder of any Lien on such property that is permitted by clause (d) of the “Permitted Encumbrances”, clauses (c), (d) and (r) of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to the extent the documents governing such Indebtedness do not permit any other Lien (or any senior Lien, as applicable) on such property, and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the Borrower with respect to leases entered into by the Parent and its Subsidiaries, to the extent requested by the Borrower and reasonably acceptable to the Administrative Agent.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Section 10.18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Swap Agreements or any other agreement or instrument that is a QFC (such support “</w:t>
      </w:r>
      <w:r>
        <w:rPr>
          <w:rFonts w:ascii="Arial" w:cs="Arial" w:eastAsia="Arial" w:hAnsi="Arial"/>
          <w:sz w:val="19"/>
          <w:szCs w:val="19"/>
          <w:b w:val="1"/>
          <w:b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b w:val="1"/>
          <w:bCs w:val="1"/>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In the event a Covered Entity that is party to a Supported QFC (each, a “</w:t>
      </w:r>
      <w:r>
        <w:rPr>
          <w:rFonts w:ascii="Arial" w:cs="Arial" w:eastAsia="Arial" w:hAnsi="Arial"/>
          <w:sz w:val="21"/>
          <w:szCs w:val="21"/>
          <w:b w:val="1"/>
          <w:bCs w:val="1"/>
          <w:color w:val="auto"/>
        </w:rPr>
        <w:t>Covered Party</w:t>
      </w:r>
      <w:r>
        <w:rPr>
          <w:rFonts w:ascii="Arial" w:cs="Arial" w:eastAsia="Arial" w:hAnsi="Arial"/>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01" w:right="339" w:bottom="1440" w:gutter="0" w:footer="0" w:header="0"/>
        </w:sectPr>
      </w:pPr>
    </w:p>
    <w:bookmarkStart w:id="229" w:name="page230"/>
    <w:bookmarkEnd w:id="229"/>
    <w:p>
      <w:pPr>
        <w:jc w:val="both"/>
        <w:spacing w:after="0" w:line="232" w:lineRule="auto"/>
        <w:rPr>
          <w:sz w:val="20"/>
          <w:szCs w:val="20"/>
          <w:color w:val="auto"/>
        </w:rPr>
      </w:pPr>
      <w:r>
        <w:rPr>
          <w:rFonts w:ascii="Arial" w:cs="Arial" w:eastAsia="Arial" w:hAnsi="Arial"/>
          <w:sz w:val="22"/>
          <w:szCs w:val="22"/>
          <w:color w:val="auto"/>
        </w:rPr>
        <w:t>rights and remedies of the parties with respect to a Defaulting Lender shall in no event affect the rights of any Covered Party with respect to a Supported QFC or any QFC Credit Support.</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10.19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9" w:lineRule="exact"/>
        <w:rPr>
          <w:sz w:val="20"/>
          <w:szCs w:val="20"/>
          <w:color w:val="auto"/>
        </w:rPr>
      </w:pPr>
    </w:p>
    <w:p>
      <w:pPr>
        <w:ind w:firstLine="656"/>
        <w:spacing w:after="0" w:line="298" w:lineRule="auto"/>
        <w:tabs>
          <w:tab w:leader="none" w:pos="122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5" w:lineRule="exact"/>
        <w:rPr>
          <w:rFonts w:ascii="Arial" w:cs="Arial" w:eastAsia="Arial" w:hAnsi="Arial"/>
          <w:sz w:val="19"/>
          <w:szCs w:val="19"/>
          <w:color w:val="auto"/>
        </w:rPr>
      </w:pPr>
    </w:p>
    <w:p>
      <w:pPr>
        <w:ind w:left="1120" w:hanging="464"/>
        <w:spacing w:after="0"/>
        <w:tabs>
          <w:tab w:leader="none" w:pos="11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rFonts w:ascii="Arial" w:cs="Arial" w:eastAsia="Arial" w:hAnsi="Arial"/>
          <w:sz w:val="22"/>
          <w:szCs w:val="22"/>
          <w:color w:val="auto"/>
        </w:rPr>
      </w:pPr>
    </w:p>
    <w:p>
      <w:pPr>
        <w:ind w:left="1720" w:hanging="416"/>
        <w:spacing w:after="0"/>
        <w:tabs>
          <w:tab w:leader="none" w:pos="172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189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firstLine="1304"/>
        <w:spacing w:after="0" w:line="232" w:lineRule="auto"/>
        <w:tabs>
          <w:tab w:leader="none" w:pos="2041"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10.20</w:t>
      </w:r>
      <w:r>
        <w:rPr>
          <w:sz w:val="20"/>
          <w:szCs w:val="20"/>
          <w:color w:val="auto"/>
        </w:rPr>
        <w:tab/>
      </w:r>
      <w:r>
        <w:rPr>
          <w:rFonts w:ascii="Arial" w:cs="Arial" w:eastAsia="Arial" w:hAnsi="Arial"/>
          <w:sz w:val="19"/>
          <w:szCs w:val="19"/>
          <w:u w:val="single" w:color="auto"/>
          <w:color w:val="auto"/>
        </w:rPr>
        <w:t>Parallel Debt (Covenant to pay the Administrative Agent).</w:t>
      </w:r>
    </w:p>
    <w:p>
      <w:pPr>
        <w:spacing w:after="0" w:line="179" w:lineRule="exact"/>
        <w:rPr>
          <w:sz w:val="20"/>
          <w:szCs w:val="20"/>
          <w:color w:val="auto"/>
        </w:rPr>
      </w:pPr>
    </w:p>
    <w:p>
      <w:pPr>
        <w:jc w:val="both"/>
        <w:ind w:firstLine="656"/>
        <w:spacing w:after="0" w:line="224" w:lineRule="auto"/>
        <w:tabs>
          <w:tab w:leader="none" w:pos="1134" w:val="left"/>
        </w:tabs>
        <w:numPr>
          <w:ilvl w:val="0"/>
          <w:numId w:val="212"/>
        </w:numPr>
        <w:rPr>
          <w:rFonts w:ascii="Arial" w:cs="Arial" w:eastAsia="Arial" w:hAnsi="Arial"/>
          <w:sz w:val="21"/>
          <w:szCs w:val="21"/>
          <w:color w:val="auto"/>
        </w:rPr>
      </w:pPr>
      <w:r>
        <w:rPr>
          <w:rFonts w:ascii="Arial" w:cs="Arial" w:eastAsia="Arial" w:hAnsi="Arial"/>
          <w:sz w:val="21"/>
          <w:szCs w:val="21"/>
          <w:color w:val="auto"/>
        </w:rPr>
        <w:t>Each Loan Party, by way of an independent payment obligation, hereby irrevocably and unconditionally undertakes to pay to the Administrative Agent, as creditor in its own right and not as representative of the other Secured Parties, amounts equal to and in the currency of each amount payable by such Loan Party to each of the Secured Parties under any Loan Document as and when that amount falls due for payment under the relevant Loan Document or would have fallen due but for any discharge from failure of another Secured Party to take appropriate steps, in insolvency proceedings affecting that Loan Party, to preserve its entitlement to be paid that amount (the “</w:t>
      </w:r>
      <w:r>
        <w:rPr>
          <w:rFonts w:ascii="Arial" w:cs="Arial" w:eastAsia="Arial" w:hAnsi="Arial"/>
          <w:sz w:val="21"/>
          <w:szCs w:val="21"/>
          <w:b w:val="1"/>
          <w:bCs w:val="1"/>
          <w:color w:val="auto"/>
        </w:rPr>
        <w:t>Parallel Debt</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jc w:val="both"/>
        <w:ind w:firstLine="656"/>
        <w:spacing w:after="0" w:line="221" w:lineRule="auto"/>
        <w:tabs>
          <w:tab w:leader="none" w:pos="1315" w:val="left"/>
        </w:tabs>
        <w:numPr>
          <w:ilvl w:val="0"/>
          <w:numId w:val="212"/>
        </w:numPr>
        <w:rPr>
          <w:rFonts w:ascii="Arial" w:cs="Arial" w:eastAsia="Arial" w:hAnsi="Arial"/>
          <w:sz w:val="21"/>
          <w:szCs w:val="21"/>
          <w:color w:val="auto"/>
        </w:rPr>
      </w:pPr>
      <w:r>
        <w:rPr>
          <w:rFonts w:ascii="Arial" w:cs="Arial" w:eastAsia="Arial" w:hAnsi="Arial"/>
          <w:sz w:val="21"/>
          <w:szCs w:val="21"/>
          <w:color w:val="auto"/>
        </w:rPr>
        <w:t>Each Loan Party and the Administrative Agent acknowledge that the obligations of each Loan Party under paragraph (a) above are several and are separate and independent from, and shall not in any way limit or affect, the corresponding obligations of that Loan Party to any Secured Party under any Loan Document (its “</w:t>
      </w:r>
      <w:r>
        <w:rPr>
          <w:rFonts w:ascii="Arial" w:cs="Arial" w:eastAsia="Arial" w:hAnsi="Arial"/>
          <w:sz w:val="21"/>
          <w:szCs w:val="21"/>
          <w:b w:val="1"/>
          <w:bCs w:val="1"/>
          <w:color w:val="auto"/>
        </w:rPr>
        <w:t>Corresponding Debt</w:t>
      </w:r>
      <w:r>
        <w:rPr>
          <w:rFonts w:ascii="Arial" w:cs="Arial" w:eastAsia="Arial" w:hAnsi="Arial"/>
          <w:sz w:val="21"/>
          <w:szCs w:val="21"/>
          <w:color w:val="auto"/>
        </w:rPr>
        <w:t>”) nor shall the amounts for which each Loan Party is liable under paragraph (a) above (its Parallel Debt) be limited or affected in any way by its Corresponding Debt provided that: (i) the Administrative Agent shall not demand payment with regard to the Parallel Debt of any Loan Party to the extent that such Loan Party’s Corresponding Debt has been irrevocably paid or (in the case of guarantee obligations) discharged; and (ii) neither the Administrative Agent nor any Secured Party shall demand payment with regard to the Corresponding Debt of any Loan Party to the extent that such Loan Party’s Parallel Debt has been irrevocably paid or (in the case of guarantee obligations) discharged.</w:t>
      </w:r>
    </w:p>
    <w:p>
      <w:pPr>
        <w:spacing w:after="0" w:line="158" w:lineRule="exact"/>
        <w:rPr>
          <w:rFonts w:ascii="Arial" w:cs="Arial" w:eastAsia="Arial" w:hAnsi="Arial"/>
          <w:sz w:val="21"/>
          <w:szCs w:val="21"/>
          <w:color w:val="auto"/>
        </w:rPr>
      </w:pPr>
    </w:p>
    <w:p>
      <w:pPr>
        <w:ind w:firstLine="656"/>
        <w:spacing w:after="0" w:line="232" w:lineRule="auto"/>
        <w:tabs>
          <w:tab w:leader="none" w:pos="111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For the purpose of this </w:t>
      </w:r>
      <w:r>
        <w:rPr>
          <w:rFonts w:ascii="Arial" w:cs="Arial" w:eastAsia="Arial" w:hAnsi="Arial"/>
          <w:sz w:val="22"/>
          <w:szCs w:val="22"/>
          <w:u w:val="single" w:color="auto"/>
          <w:color w:val="auto"/>
        </w:rPr>
        <w:t>Section 10.20</w:t>
      </w:r>
      <w:r>
        <w:rPr>
          <w:rFonts w:ascii="Arial" w:cs="Arial" w:eastAsia="Arial" w:hAnsi="Arial"/>
          <w:sz w:val="22"/>
          <w:szCs w:val="22"/>
          <w:color w:val="auto"/>
        </w:rPr>
        <w:t>, the Administrative Agent acts in its own name and not as a trustee, and it shall have its own independent right to demand 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01" w:right="339" w:bottom="1440" w:gutter="0" w:footer="0" w:header="0"/>
        </w:sectPr>
      </w:pPr>
    </w:p>
    <w:bookmarkStart w:id="230" w:name="page231"/>
    <w:bookmarkEnd w:id="230"/>
    <w:p>
      <w:pPr>
        <w:jc w:val="both"/>
        <w:spacing w:after="0" w:line="223" w:lineRule="auto"/>
        <w:rPr>
          <w:sz w:val="20"/>
          <w:szCs w:val="20"/>
          <w:color w:val="auto"/>
        </w:rPr>
      </w:pPr>
      <w:r>
        <w:rPr>
          <w:rFonts w:ascii="Arial" w:cs="Arial" w:eastAsia="Arial" w:hAnsi="Arial"/>
          <w:sz w:val="22"/>
          <w:szCs w:val="22"/>
          <w:color w:val="auto"/>
        </w:rPr>
        <w:t xml:space="preserve">amounts payable by each Loan Party under this </w:t>
      </w:r>
      <w:r>
        <w:rPr>
          <w:rFonts w:ascii="Arial" w:cs="Arial" w:eastAsia="Arial" w:hAnsi="Arial"/>
          <w:sz w:val="22"/>
          <w:szCs w:val="22"/>
          <w:u w:val="single" w:color="auto"/>
          <w:color w:val="auto"/>
        </w:rPr>
        <w:t>Section 10.20</w:t>
      </w:r>
      <w:r>
        <w:rPr>
          <w:rFonts w:ascii="Arial" w:cs="Arial" w:eastAsia="Arial" w:hAnsi="Arial"/>
          <w:sz w:val="22"/>
          <w:szCs w:val="22"/>
          <w:color w:val="auto"/>
        </w:rPr>
        <w:t>, irrespective of any discharge of such Loan Party’s obligation to pay those amounts to the other Secured Parties resulting from failure by them to take appropriate steps, in insolvency proceedings affecting that Loan Party, to preserve their entitlement to be paid those amounts.</w:t>
      </w:r>
    </w:p>
    <w:p>
      <w:pPr>
        <w:spacing w:after="0" w:line="159" w:lineRule="exact"/>
        <w:rPr>
          <w:sz w:val="20"/>
          <w:szCs w:val="20"/>
          <w:color w:val="auto"/>
        </w:rPr>
      </w:pPr>
    </w:p>
    <w:p>
      <w:pPr>
        <w:jc w:val="both"/>
        <w:ind w:firstLine="656"/>
        <w:spacing w:after="0" w:line="223" w:lineRule="auto"/>
        <w:tabs>
          <w:tab w:leader="none" w:pos="117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The rights of the Secured Parties (other than the Administrative Agent) to receive payment of amounts payable by each Loan Party under the Loan Documents are several and are separate and independent from, and without prejudice to, the rights of the Administrative Agent to receive payment under this </w:t>
      </w:r>
      <w:r>
        <w:rPr>
          <w:rFonts w:ascii="Arial" w:cs="Arial" w:eastAsia="Arial" w:hAnsi="Arial"/>
          <w:sz w:val="22"/>
          <w:szCs w:val="22"/>
          <w:u w:val="single" w:color="auto"/>
          <w:color w:val="auto"/>
        </w:rPr>
        <w:t>Section 10.20</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49" w:lineRule="auto"/>
        <w:tabs>
          <w:tab w:leader="none" w:pos="113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Without limiting or affecting the Administrative Agent’s rights against the Loan Parties (whether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10.20</w:t>
      </w:r>
      <w:r>
        <w:rPr>
          <w:rFonts w:ascii="Arial" w:cs="Arial" w:eastAsia="Arial" w:hAnsi="Arial"/>
          <w:sz w:val="19"/>
          <w:szCs w:val="19"/>
          <w:color w:val="auto"/>
        </w:rPr>
        <w:t xml:space="preserve"> or under any other provision of the Loan Documents), each Loan Party acknowledges that: (i) nothing in this </w:t>
      </w:r>
      <w:r>
        <w:rPr>
          <w:rFonts w:ascii="Arial" w:cs="Arial" w:eastAsia="Arial" w:hAnsi="Arial"/>
          <w:sz w:val="19"/>
          <w:szCs w:val="19"/>
          <w:u w:val="single" w:color="auto"/>
          <w:color w:val="auto"/>
        </w:rPr>
        <w:t>Section 10.20</w:t>
      </w:r>
      <w:r>
        <w:rPr>
          <w:rFonts w:ascii="Arial" w:cs="Arial" w:eastAsia="Arial" w:hAnsi="Arial"/>
          <w:sz w:val="19"/>
          <w:szCs w:val="19"/>
          <w:color w:val="auto"/>
        </w:rPr>
        <w:t xml:space="preserve"> shall impose any obligation on the Administrative Agent to advance any sum to any Loan Party or otherwise under any Loan Document, except in its capacity as a Lender (other than as Administrative Agent); and (ii) for the purpose of any vote taken under any Loan Document, the Administrative Agent shall not be regarded as having any participation or commitment other than those which it has in its capacity as a Lender (other than as Administrative Agent).</w:t>
      </w:r>
    </w:p>
    <w:p>
      <w:pPr>
        <w:spacing w:after="0" w:line="15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10.21</w:t>
      </w:r>
      <w:r>
        <w:rPr>
          <w:sz w:val="20"/>
          <w:szCs w:val="20"/>
          <w:color w:val="auto"/>
        </w:rPr>
        <w:tab/>
      </w:r>
      <w:r>
        <w:rPr>
          <w:rFonts w:ascii="Arial" w:cs="Arial" w:eastAsia="Arial" w:hAnsi="Arial"/>
          <w:sz w:val="19"/>
          <w:szCs w:val="19"/>
          <w:u w:val="single" w:color="auto"/>
          <w:color w:val="auto"/>
        </w:rPr>
        <w:t>Subordinated Lender.</w:t>
      </w:r>
    </w:p>
    <w:p>
      <w:pPr>
        <w:spacing w:after="0" w:line="179" w:lineRule="exact"/>
        <w:rPr>
          <w:sz w:val="20"/>
          <w:szCs w:val="20"/>
          <w:color w:val="auto"/>
        </w:rPr>
      </w:pPr>
    </w:p>
    <w:p>
      <w:pPr>
        <w:jc w:val="both"/>
        <w:ind w:firstLine="656"/>
        <w:spacing w:after="0" w:line="249" w:lineRule="auto"/>
        <w:tabs>
          <w:tab w:leader="none" w:pos="1142"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If the Distributed Amount is less than the Maximum Amount, then, upon application of the Distributed Amount (or any part thereof) pursuant to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towards the discharge of the obligations of a Loan Party under the Loan Documents (including principal, interest, fees and commissions), the amount which would otherwise be required to be applied towards any such obligations under the Loan Documents owed to a Subordinated Lender shall be reduced by the Shortfall Amount attributable to that Subordinated Lender and such amount shall in addition be applied towards the discharge of the obligations (including principal, interest, fees, commission) towards the other Lenders pro rata in accordance with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656"/>
        <w:spacing w:after="0" w:line="234" w:lineRule="auto"/>
        <w:tabs>
          <w:tab w:leader="none" w:pos="1255"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Any risk of a shortfall between the Maximum Amount and the Distributed Amount (whether arising from the prohibition and/or reduction of payments to the Subordinated Lender and/or from any contestation (</w:t>
      </w:r>
      <w:r>
        <w:rPr>
          <w:rFonts w:ascii="Arial" w:cs="Arial" w:eastAsia="Arial" w:hAnsi="Arial"/>
          <w:sz w:val="21"/>
          <w:szCs w:val="21"/>
          <w:i w:val="1"/>
          <w:iCs w:val="1"/>
          <w:color w:val="auto"/>
        </w:rPr>
        <w:t>Anfechtung</w:t>
      </w:r>
      <w:r>
        <w:rPr>
          <w:rFonts w:ascii="Arial" w:cs="Arial" w:eastAsia="Arial" w:hAnsi="Arial"/>
          <w:sz w:val="21"/>
          <w:szCs w:val="21"/>
          <w:color w:val="auto"/>
        </w:rPr>
        <w:t>) under applicable law) shall for all purposes of the Loan Documents be borne by the relevant Subordinated Lender.</w:t>
      </w:r>
    </w:p>
    <w:p>
      <w:pPr>
        <w:spacing w:after="0" w:line="157" w:lineRule="exact"/>
        <w:rPr>
          <w:rFonts w:ascii="Arial" w:cs="Arial" w:eastAsia="Arial" w:hAnsi="Arial"/>
          <w:sz w:val="21"/>
          <w:szCs w:val="21"/>
          <w:color w:val="auto"/>
        </w:rPr>
      </w:pPr>
    </w:p>
    <w:p>
      <w:pPr>
        <w:jc w:val="both"/>
        <w:ind w:firstLine="656"/>
        <w:spacing w:after="0" w:line="218" w:lineRule="auto"/>
        <w:tabs>
          <w:tab w:leader="none" w:pos="1117"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A Subordinated Lender shall not have the benefit, but only the obligations, of any sharing provisions under the Loan Documents, including under </w:t>
      </w:r>
      <w:r>
        <w:rPr>
          <w:rFonts w:ascii="Arial" w:cs="Arial" w:eastAsia="Arial" w:hAnsi="Arial"/>
          <w:sz w:val="22"/>
          <w:szCs w:val="22"/>
          <w:u w:val="single" w:color="auto"/>
          <w:color w:val="auto"/>
        </w:rPr>
        <w:t>Section 2.15(c)</w:t>
      </w:r>
      <w:r>
        <w:rPr>
          <w:rFonts w:ascii="Arial" w:cs="Arial" w:eastAsia="Arial" w:hAnsi="Arial"/>
          <w:sz w:val="22"/>
          <w:szCs w:val="22"/>
          <w:color w:val="auto"/>
        </w:rPr>
        <w:t>, and shall not be entitled to receive any payment, and the Administrative Agent shall not be required to make any payment to any Subordinated Lender under or in connection with the Loan Documents in respect of the Shortfall Amount.</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Section 10.22</w:t>
      </w:r>
      <w:r>
        <w:rPr>
          <w:sz w:val="20"/>
          <w:szCs w:val="20"/>
          <w:color w:val="auto"/>
        </w:rPr>
        <w:tab/>
      </w:r>
      <w:r>
        <w:rPr>
          <w:rFonts w:ascii="Arial" w:cs="Arial" w:eastAsia="Arial" w:hAnsi="Arial"/>
          <w:sz w:val="19"/>
          <w:szCs w:val="19"/>
          <w:u w:val="single" w:color="auto"/>
          <w:color w:val="auto"/>
        </w:rPr>
        <w:t>Restricted Lender</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21" w:lineRule="auto"/>
        <w:tabs>
          <w:tab w:leader="none" w:pos="1183" w:val="left"/>
        </w:tabs>
        <w:numPr>
          <w:ilvl w:val="0"/>
          <w:numId w:val="215"/>
        </w:numPr>
        <w:rPr>
          <w:rFonts w:ascii="Arial" w:cs="Arial" w:eastAsia="Arial" w:hAnsi="Arial"/>
          <w:sz w:val="21"/>
          <w:szCs w:val="21"/>
          <w:color w:val="auto"/>
        </w:rPr>
      </w:pPr>
      <w:r>
        <w:rPr>
          <w:rFonts w:ascii="Arial" w:cs="Arial" w:eastAsia="Arial" w:hAnsi="Arial"/>
          <w:sz w:val="21"/>
          <w:szCs w:val="21"/>
          <w:color w:val="auto"/>
        </w:rPr>
        <w:t>In relation to each Lender resident in Germany (</w:t>
      </w:r>
      <w:r>
        <w:rPr>
          <w:rFonts w:ascii="Arial" w:cs="Arial" w:eastAsia="Arial" w:hAnsi="Arial"/>
          <w:sz w:val="21"/>
          <w:szCs w:val="21"/>
          <w:i w:val="1"/>
          <w:iCs w:val="1"/>
          <w:color w:val="auto"/>
        </w:rPr>
        <w:t>Inländer</w:t>
      </w:r>
      <w:r>
        <w:rPr>
          <w:rFonts w:ascii="Arial" w:cs="Arial" w:eastAsia="Arial" w:hAnsi="Arial"/>
          <w:sz w:val="21"/>
          <w:szCs w:val="21"/>
          <w:color w:val="auto"/>
        </w:rPr>
        <w:t>) within the meaning of section 2 paragraph 15 German Foreign Trade Law (</w:t>
      </w:r>
      <w:r>
        <w:rPr>
          <w:rFonts w:ascii="Arial" w:cs="Arial" w:eastAsia="Arial" w:hAnsi="Arial"/>
          <w:sz w:val="21"/>
          <w:szCs w:val="21"/>
          <w:i w:val="1"/>
          <w:iCs w:val="1"/>
          <w:color w:val="auto"/>
        </w:rPr>
        <w:t>Außenwirtschaftsgesetz</w:t>
      </w:r>
      <w:r>
        <w:rPr>
          <w:rFonts w:ascii="Arial" w:cs="Arial" w:eastAsia="Arial" w:hAnsi="Arial"/>
          <w:sz w:val="21"/>
          <w:szCs w:val="21"/>
          <w:color w:val="auto"/>
        </w:rPr>
        <w:t xml:space="preserve">) or that otherwise notifies the Administrative Agent that it is a “Restricted Lender” for the purpose of this </w:t>
      </w:r>
      <w:r>
        <w:rPr>
          <w:rFonts w:ascii="Arial" w:cs="Arial" w:eastAsia="Arial" w:hAnsi="Arial"/>
          <w:sz w:val="21"/>
          <w:szCs w:val="21"/>
          <w:u w:val="single" w:color="auto"/>
          <w:color w:val="auto"/>
        </w:rPr>
        <w:t>Section 10.22</w:t>
      </w:r>
      <w:r>
        <w:rPr>
          <w:rFonts w:ascii="Arial" w:cs="Arial" w:eastAsia="Arial" w:hAnsi="Arial"/>
          <w:sz w:val="21"/>
          <w:szCs w:val="21"/>
          <w:color w:val="auto"/>
        </w:rPr>
        <w:t xml:space="preserve"> (each a “</w:t>
      </w:r>
      <w:r>
        <w:rPr>
          <w:rFonts w:ascii="Arial" w:cs="Arial" w:eastAsia="Arial" w:hAnsi="Arial"/>
          <w:sz w:val="21"/>
          <w:szCs w:val="21"/>
          <w:b w:val="1"/>
          <w:bCs w:val="1"/>
          <w:color w:val="auto"/>
        </w:rPr>
        <w:t>Restricted Lender</w:t>
      </w:r>
      <w:r>
        <w:rPr>
          <w:rFonts w:ascii="Arial" w:cs="Arial" w:eastAsia="Arial" w:hAnsi="Arial"/>
          <w:sz w:val="21"/>
          <w:szCs w:val="21"/>
          <w:color w:val="auto"/>
        </w:rPr>
        <w:t xml:space="preserve">”), the representations and undertakings under </w:t>
      </w:r>
      <w:r>
        <w:rPr>
          <w:rFonts w:ascii="Arial" w:cs="Arial" w:eastAsia="Arial" w:hAnsi="Arial"/>
          <w:sz w:val="21"/>
          <w:szCs w:val="21"/>
          <w:u w:val="single" w:color="auto"/>
          <w:color w:val="auto"/>
        </w:rPr>
        <w:t>Section 3.15</w:t>
      </w:r>
      <w:r>
        <w:rPr>
          <w:rFonts w:ascii="Arial" w:cs="Arial" w:eastAsia="Arial" w:hAnsi="Arial"/>
          <w:sz w:val="21"/>
          <w:szCs w:val="21"/>
          <w:color w:val="auto"/>
        </w:rPr>
        <w:t xml:space="preserve">, </w:t>
      </w:r>
      <w:r>
        <w:rPr>
          <w:rFonts w:ascii="Arial" w:cs="Arial" w:eastAsia="Arial" w:hAnsi="Arial"/>
          <w:sz w:val="21"/>
          <w:szCs w:val="21"/>
          <w:u w:val="single" w:color="auto"/>
          <w:color w:val="auto"/>
        </w:rPr>
        <w:t>3.16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5.09</w:t>
      </w:r>
      <w:r>
        <w:rPr>
          <w:rFonts w:ascii="Arial" w:cs="Arial" w:eastAsia="Arial" w:hAnsi="Arial"/>
          <w:sz w:val="21"/>
          <w:szCs w:val="21"/>
          <w:color w:val="auto"/>
        </w:rPr>
        <w:t xml:space="preserve"> (together, the “</w:t>
      </w:r>
      <w:r>
        <w:rPr>
          <w:rFonts w:ascii="Arial" w:cs="Arial" w:eastAsia="Arial" w:hAnsi="Arial"/>
          <w:sz w:val="21"/>
          <w:szCs w:val="21"/>
          <w:b w:val="1"/>
          <w:bCs w:val="1"/>
          <w:color w:val="auto"/>
        </w:rPr>
        <w:t>Sanctions Provisions</w:t>
      </w:r>
      <w:r>
        <w:rPr>
          <w:rFonts w:ascii="Arial" w:cs="Arial" w:eastAsia="Arial" w:hAnsi="Arial"/>
          <w:sz w:val="21"/>
          <w:szCs w:val="21"/>
          <w:color w:val="auto"/>
        </w:rPr>
        <w:t>”) shall only apply for the benefit of that Restricted Lender to the extent that it would not result in any violation of, conflict with or liability under (i) section 7 of the German Foreign Trade Regulation (</w:t>
      </w:r>
      <w:r>
        <w:rPr>
          <w:rFonts w:ascii="Arial" w:cs="Arial" w:eastAsia="Arial" w:hAnsi="Arial"/>
          <w:sz w:val="21"/>
          <w:szCs w:val="21"/>
          <w:i w:val="1"/>
          <w:iCs w:val="1"/>
          <w:color w:val="auto"/>
        </w:rPr>
        <w:t>Außenwirtschaftsverordnung</w:t>
      </w:r>
      <w:r>
        <w:rPr>
          <w:rFonts w:ascii="Arial" w:cs="Arial" w:eastAsia="Arial" w:hAnsi="Arial"/>
          <w:sz w:val="21"/>
          <w:szCs w:val="21"/>
          <w:color w:val="auto"/>
        </w:rPr>
        <w:t>) (in conjunction with section 4 paragraph 1 a no 3 German Foreign Trade Law (</w:t>
      </w:r>
      <w:r>
        <w:rPr>
          <w:rFonts w:ascii="Arial" w:cs="Arial" w:eastAsia="Arial" w:hAnsi="Arial"/>
          <w:sz w:val="21"/>
          <w:szCs w:val="21"/>
          <w:i w:val="1"/>
          <w:iCs w:val="1"/>
          <w:color w:val="auto"/>
        </w:rPr>
        <w:t>Außenwirtschaftsgesetz</w:t>
      </w:r>
      <w:r>
        <w:rPr>
          <w:rFonts w:ascii="Arial" w:cs="Arial" w:eastAsia="Arial" w:hAnsi="Arial"/>
          <w:sz w:val="21"/>
          <w:szCs w:val="21"/>
          <w:color w:val="auto"/>
        </w:rPr>
        <w:t>), (ii) any provision of the Council Regulation (EC) No 2271/96 of 22 November 1996 protecting against the effects of the extra-territorial application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01" w:right="339" w:bottom="1440" w:gutter="0" w:footer="0" w:header="0"/>
        </w:sectPr>
      </w:pPr>
    </w:p>
    <w:bookmarkStart w:id="231" w:name="page232"/>
    <w:bookmarkEnd w:id="231"/>
    <w:p>
      <w:pPr>
        <w:spacing w:after="0" w:line="232" w:lineRule="auto"/>
        <w:rPr>
          <w:sz w:val="20"/>
          <w:szCs w:val="20"/>
          <w:color w:val="auto"/>
        </w:rPr>
      </w:pPr>
      <w:r>
        <w:rPr>
          <w:rFonts w:ascii="Arial" w:cs="Arial" w:eastAsia="Arial" w:hAnsi="Arial"/>
          <w:sz w:val="22"/>
          <w:szCs w:val="22"/>
          <w:color w:val="auto"/>
        </w:rPr>
        <w:t>legislation adopted by a third country, and actions based thereon or resulting therefrom and/or (iii) any other applicable anti-boycott laws or regulations.</w:t>
      </w:r>
    </w:p>
    <w:p>
      <w:pPr>
        <w:spacing w:after="0" w:line="159" w:lineRule="exact"/>
        <w:rPr>
          <w:sz w:val="20"/>
          <w:szCs w:val="20"/>
          <w:color w:val="auto"/>
        </w:rPr>
      </w:pPr>
    </w:p>
    <w:p>
      <w:pPr>
        <w:jc w:val="both"/>
        <w:ind w:firstLine="656"/>
        <w:spacing w:after="0" w:line="229" w:lineRule="auto"/>
        <w:tabs>
          <w:tab w:leader="none" w:pos="114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In connection with any amendment, waiver, determination or direction relating to any part of a Sanctions Provision of which a Restricted Lender does not have the benefit pursuant to paragraph (a) above, the Commitments of that Restricted Lender will be excluded for the purpose of determining whether the consent of the Required Lenders has been obtained or whether the determination or direction by the Required Lenders has been made.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0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10.2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 REVOLVING CREDIT AGREEMENT</w:t>
      </w:r>
    </w:p>
    <w:p>
      <w:pPr>
        <w:spacing w:after="0" w:line="189" w:lineRule="exact"/>
        <w:rPr>
          <w:sz w:val="20"/>
          <w:szCs w:val="20"/>
          <w:color w:val="auto"/>
        </w:rPr>
      </w:pPr>
    </w:p>
    <w:p>
      <w:pPr>
        <w:ind w:firstLine="648"/>
        <w:spacing w:after="0" w:line="227" w:lineRule="auto"/>
        <w:rPr>
          <w:sz w:val="20"/>
          <w:szCs w:val="20"/>
          <w:color w:val="auto"/>
        </w:rPr>
      </w:pPr>
      <w:r>
        <w:rPr>
          <w:rFonts w:ascii="Arial" w:cs="Arial" w:eastAsia="Arial" w:hAnsi="Arial"/>
          <w:sz w:val="19"/>
          <w:szCs w:val="19"/>
          <w:b w:val="1"/>
          <w:bCs w:val="1"/>
          <w:color w:val="auto"/>
        </w:rPr>
        <w:t xml:space="preserve">THIS AMENDMENT NO. 3 TO REVOLVING CREDIT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August 8, 2023, is</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by and among FLUENCE ENERGY, INC., a Delaware corporation (the “</w:t>
      </w:r>
      <w:r>
        <w:rPr>
          <w:rFonts w:ascii="Arial" w:cs="Arial" w:eastAsia="Arial" w:hAnsi="Arial"/>
          <w:sz w:val="19"/>
          <w:szCs w:val="19"/>
          <w:u w:val="single" w:color="auto"/>
          <w:color w:val="auto"/>
        </w:rPr>
        <w:t>Parent</w:t>
      </w:r>
      <w:r>
        <w:rPr>
          <w:rFonts w:ascii="Arial" w:cs="Arial" w:eastAsia="Arial" w:hAnsi="Arial"/>
          <w:sz w:val="19"/>
          <w:szCs w:val="19"/>
          <w:color w:val="auto"/>
        </w:rPr>
        <w:t>”), FLUENCE ENERGY, LLC, a Delaware</w:t>
      </w:r>
    </w:p>
    <w:p>
      <w:pPr>
        <w:spacing w:after="0" w:line="235" w:lineRule="auto"/>
        <w:rPr>
          <w:sz w:val="20"/>
          <w:szCs w:val="20"/>
          <w:color w:val="auto"/>
        </w:rPr>
      </w:pPr>
      <w:r>
        <w:rPr>
          <w:rFonts w:ascii="Arial" w:cs="Arial" w:eastAsia="Arial" w:hAnsi="Arial"/>
          <w:sz w:val="18"/>
          <w:szCs w:val="18"/>
          <w:color w:val="auto"/>
        </w:rPr>
        <w:t>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Guarantors party hereto, each Lender party hereto and JPMORGAN CHASE BANK,</w:t>
      </w:r>
    </w:p>
    <w:p>
      <w:pPr>
        <w:spacing w:after="0" w:line="226" w:lineRule="auto"/>
        <w:rPr>
          <w:sz w:val="20"/>
          <w:szCs w:val="20"/>
          <w:color w:val="auto"/>
        </w:rPr>
      </w:pPr>
      <w:r>
        <w:rPr>
          <w:rFonts w:ascii="Arial" w:cs="Arial" w:eastAsia="Arial" w:hAnsi="Arial"/>
          <w:sz w:val="18"/>
          <w:szCs w:val="18"/>
          <w:color w:val="auto"/>
        </w:rPr>
        <w:t>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in connection with that certain Revolving Credit Agreement, dated as of November 1, 2021 (as amended by that certain Amendment No. 1 to Revolving Credit Agreement, dated November 15, 2022, as</w:t>
      </w:r>
    </w:p>
    <w:p>
      <w:pPr>
        <w:spacing w:after="0" w:line="236" w:lineRule="auto"/>
        <w:rPr>
          <w:sz w:val="20"/>
          <w:szCs w:val="20"/>
          <w:color w:val="auto"/>
        </w:rPr>
      </w:pPr>
      <w:r>
        <w:rPr>
          <w:rFonts w:ascii="Arial" w:cs="Arial" w:eastAsia="Arial" w:hAnsi="Arial"/>
          <w:sz w:val="18"/>
          <w:szCs w:val="18"/>
          <w:color w:val="auto"/>
        </w:rPr>
        <w:t>further amended by that certain Amendment No. 2 to Revolving Credit Agreement, dated May 19, 2023, and as further amended, modified,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supplemented, restated or amended and restated from time to time,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amended by this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entered into by and among the Borrower, the Parent, the Guarantors from time to time party thereto,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Agent and the Lenders from time to time party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69"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requested that the Existing Credit Agreement be amended to expressly permit surety bonds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a Loan Party securing such Loan Party’s performance and other obligations incurred in the ordinary course of business; and</w:t>
      </w:r>
    </w:p>
    <w:p>
      <w:pPr>
        <w:spacing w:after="0" w:line="11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effect the forgoing, the Administrative Agent, the Borrower and the Lenders party hereto comprising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Lenders desire to amend, as of the Amendment Effective Date (as defined below), the Existing Credit Agreement subject to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terms and conditions set forth herein.</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execution hereof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sufficiency of which are hereby acknowledged, the parties hereto hereby agree as follows:</w:t>
      </w:r>
    </w:p>
    <w:p>
      <w:pPr>
        <w:spacing w:after="0" w:line="169" w:lineRule="exact"/>
        <w:rPr>
          <w:sz w:val="20"/>
          <w:szCs w:val="20"/>
          <w:color w:val="auto"/>
        </w:rPr>
      </w:pPr>
    </w:p>
    <w:p>
      <w:pPr>
        <w:ind w:firstLine="656"/>
        <w:spacing w:after="0" w:line="229" w:lineRule="auto"/>
        <w:tabs>
          <w:tab w:leader="none" w:pos="1078"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68" w:lineRule="exact"/>
        <w:rPr>
          <w:rFonts w:ascii="Arial" w:cs="Arial" w:eastAsia="Arial" w:hAnsi="Arial"/>
          <w:sz w:val="20"/>
          <w:szCs w:val="20"/>
          <w:color w:val="auto"/>
        </w:rPr>
      </w:pPr>
    </w:p>
    <w:p>
      <w:pPr>
        <w:ind w:firstLine="656"/>
        <w:spacing w:after="0" w:line="236" w:lineRule="auto"/>
        <w:tabs>
          <w:tab w:leader="none" w:pos="1080" w:val="left"/>
        </w:tabs>
        <w:numPr>
          <w:ilvl w:val="0"/>
          <w:numId w:val="217"/>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Effective as of the Amendment Effective Date, the Existing Credit Agreement is hereby amended to amend and restate clause (d) of the definition of “Permitted Encumbrances” in Section 1.01 in its entirely as follows:</w:t>
      </w:r>
    </w:p>
    <w:p>
      <w:pPr>
        <w:spacing w:after="0" w:line="155" w:lineRule="exact"/>
        <w:rPr>
          <w:sz w:val="20"/>
          <w:szCs w:val="20"/>
          <w:color w:val="auto"/>
        </w:rPr>
      </w:pPr>
    </w:p>
    <w:p>
      <w:pPr>
        <w:ind w:left="660" w:right="640" w:firstLine="210"/>
        <w:spacing w:after="0" w:line="244" w:lineRule="auto"/>
        <w:rPr>
          <w:sz w:val="20"/>
          <w:szCs w:val="20"/>
          <w:color w:val="auto"/>
        </w:rPr>
      </w:pPr>
      <w:r>
        <w:rPr>
          <w:rFonts w:ascii="Arial" w:cs="Arial" w:eastAsia="Arial" w:hAnsi="Arial"/>
          <w:sz w:val="18"/>
          <w:szCs w:val="18"/>
          <w:color w:val="auto"/>
        </w:rPr>
        <w:t>“(d) Liens (other than any Lien imposed under ERISA or Section 430(k) of the Code) to secure the performance of bids, trade contracts, leases, statutory obligations, surety and appeal bonds, performance bonds and other obligations of a like</w:t>
      </w:r>
    </w:p>
    <w:p>
      <w:pPr>
        <w:ind w:left="660" w:right="640"/>
        <w:spacing w:after="0" w:line="220" w:lineRule="auto"/>
        <w:rPr>
          <w:sz w:val="20"/>
          <w:szCs w:val="20"/>
          <w:color w:val="auto"/>
        </w:rPr>
      </w:pPr>
      <w:r>
        <w:rPr>
          <w:rFonts w:ascii="Arial" w:cs="Arial" w:eastAsia="Arial" w:hAnsi="Arial"/>
          <w:sz w:val="20"/>
          <w:szCs w:val="20"/>
          <w:color w:val="auto"/>
        </w:rPr>
        <w:t>nature, in each case incurred in the ordinary course of business and to secure surety and appeal bonds in respect of judgments that do not constitute an Event of Default under Section 7.01(k);”.</w:t>
      </w:r>
    </w:p>
    <w:p>
      <w:pPr>
        <w:spacing w:after="0" w:line="170" w:lineRule="exact"/>
        <w:rPr>
          <w:sz w:val="20"/>
          <w:szCs w:val="20"/>
          <w:color w:val="auto"/>
        </w:rPr>
      </w:pPr>
    </w:p>
    <w:p>
      <w:pPr>
        <w:ind w:firstLine="656"/>
        <w:spacing w:after="0" w:line="236" w:lineRule="auto"/>
        <w:tabs>
          <w:tab w:leader="none" w:pos="1005"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will become effective upon the date on which the following conditions precedent are first satisfied (the date of the satisfaction of all such conditions,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firstLine="1304"/>
        <w:spacing w:after="0" w:line="236" w:lineRule="auto"/>
        <w:tabs>
          <w:tab w:leader="none" w:pos="1944" w:val="left"/>
        </w:tabs>
        <w:numPr>
          <w:ilvl w:val="1"/>
          <w:numId w:val="218"/>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each of the Parent, the Borrower, each other Loan Party and the Lenders comprising the Required Lenders an executed counterpart of this Agreement.</w:t>
      </w:r>
    </w:p>
    <w:p>
      <w:pPr>
        <w:spacing w:after="0" w:line="168" w:lineRule="exact"/>
        <w:rPr>
          <w:rFonts w:ascii="Arial" w:cs="Arial" w:eastAsia="Arial" w:hAnsi="Arial"/>
          <w:sz w:val="20"/>
          <w:szCs w:val="20"/>
          <w:color w:val="auto"/>
        </w:rPr>
      </w:pPr>
    </w:p>
    <w:p>
      <w:pPr>
        <w:jc w:val="both"/>
        <w:ind w:firstLine="1304"/>
        <w:spacing w:after="0" w:line="231" w:lineRule="auto"/>
        <w:tabs>
          <w:tab w:leader="none" w:pos="1944"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of the Loan Parties contained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of the Credit Agreement or any other Loan Document shall be true and correct, in all material respects (unless already qualified by materiality or “Material Adverse Effect” in which case, they shall be true and correct in all respects), on and as of the date hereof, except to the extent that such representations and warranties specifically refer to an earlier date, in which case they shall be true and correct, in all</w:t>
      </w:r>
    </w:p>
    <w:p>
      <w:pPr>
        <w:sectPr>
          <w:pgSz w:w="11900" w:h="16838" w:orient="portrait"/>
          <w:cols w:equalWidth="0" w:num="1">
            <w:col w:w="11240"/>
          </w:cols>
          <w:pgMar w:left="320" w:top="108" w:right="339" w:bottom="1440" w:gutter="0" w:footer="0" w:header="0"/>
        </w:sectPr>
      </w:pPr>
    </w:p>
    <w:bookmarkStart w:id="233" w:name="page234"/>
    <w:bookmarkEnd w:id="233"/>
    <w:p>
      <w:pPr>
        <w:spacing w:after="0" w:line="236" w:lineRule="auto"/>
        <w:rPr>
          <w:sz w:val="20"/>
          <w:szCs w:val="20"/>
          <w:color w:val="auto"/>
        </w:rPr>
      </w:pPr>
      <w:r>
        <w:rPr>
          <w:rFonts w:ascii="Arial" w:cs="Arial" w:eastAsia="Arial" w:hAnsi="Arial"/>
          <w:sz w:val="20"/>
          <w:szCs w:val="20"/>
          <w:color w:val="auto"/>
        </w:rPr>
        <w:t>material respects (unless already qualified by materiality or “Material Adverse Effect”, in which case, they shall be true and correct in all respects), as of such earlier date.</w:t>
      </w:r>
    </w:p>
    <w:p>
      <w:pPr>
        <w:spacing w:after="0" w:line="144" w:lineRule="exact"/>
        <w:rPr>
          <w:sz w:val="20"/>
          <w:szCs w:val="20"/>
          <w:color w:val="auto"/>
        </w:rPr>
      </w:pPr>
    </w:p>
    <w:p>
      <w:pPr>
        <w:jc w:val="both"/>
        <w:ind w:left="1300"/>
        <w:spacing w:after="0"/>
        <w:tabs>
          <w:tab w:leader="none" w:pos="194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Immediately after effectiveness of this Agreement, no Default or Event of Default shall have occurred and be</w:t>
      </w:r>
    </w:p>
    <w:p>
      <w:pPr>
        <w:spacing w:after="0"/>
        <w:rPr>
          <w:sz w:val="20"/>
          <w:szCs w:val="20"/>
          <w:color w:val="auto"/>
        </w:rPr>
      </w:pPr>
      <w:r>
        <w:rPr>
          <w:rFonts w:ascii="Arial" w:cs="Arial" w:eastAsia="Arial" w:hAnsi="Arial"/>
          <w:sz w:val="20"/>
          <w:szCs w:val="20"/>
          <w:color w:val="auto"/>
        </w:rPr>
        <w:t>continuing.</w:t>
      </w:r>
    </w:p>
    <w:p>
      <w:pPr>
        <w:spacing w:after="0" w:line="173" w:lineRule="exact"/>
        <w:rPr>
          <w:sz w:val="20"/>
          <w:szCs w:val="20"/>
          <w:color w:val="auto"/>
        </w:rPr>
      </w:pPr>
    </w:p>
    <w:p>
      <w:pPr>
        <w:ind w:left="1000" w:hanging="344"/>
        <w:spacing w:after="0"/>
        <w:tabs>
          <w:tab w:leader="none" w:pos="100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Loan Party represents and warrants to the Administrative Agent that, as of the date hereof:</w:t>
      </w:r>
    </w:p>
    <w:p>
      <w:pPr>
        <w:spacing w:after="0" w:line="221" w:lineRule="exact"/>
        <w:rPr>
          <w:rFonts w:ascii="Arial" w:cs="Arial" w:eastAsia="Arial" w:hAnsi="Arial"/>
          <w:sz w:val="16"/>
          <w:szCs w:val="16"/>
          <w:color w:val="auto"/>
        </w:rPr>
      </w:pPr>
    </w:p>
    <w:p>
      <w:pPr>
        <w:jc w:val="both"/>
        <w:ind w:firstLine="1304"/>
        <w:spacing w:after="0" w:line="218" w:lineRule="auto"/>
        <w:tabs>
          <w:tab w:leader="none" w:pos="1944"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this Agreement has been duly authorized by all necessary corporate or other organizational and, if required, equity holder action. Each of the Borrower and the Guarantors has duly executed and delivered this Agreement, and this Agreement constitutes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170" w:lineRule="exact"/>
        <w:rPr>
          <w:rFonts w:ascii="Arial" w:cs="Arial" w:eastAsia="Arial" w:hAnsi="Arial"/>
          <w:sz w:val="20"/>
          <w:szCs w:val="20"/>
          <w:color w:val="auto"/>
        </w:rPr>
      </w:pPr>
    </w:p>
    <w:p>
      <w:pPr>
        <w:jc w:val="both"/>
        <w:ind w:firstLine="1304"/>
        <w:spacing w:after="0" w:line="235" w:lineRule="auto"/>
        <w:tabs>
          <w:tab w:leader="none" w:pos="194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this Agreement (a) does not require any consent or approval of, registration or filing with, or any other action by, any Governmental Authority, except such as have been obtained or made and are in full force and effect, (b) will not violate any applicable law or regulation or any order of any Governmental Authority, (c) will not violate any charter, by-laws or other organizational document of the Parent or any of its Subsidiaries, (d)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Section 6.02 of the Credit Agreement).</w:t>
      </w:r>
    </w:p>
    <w:p>
      <w:pPr>
        <w:spacing w:after="0" w:line="201" w:lineRule="exact"/>
        <w:rPr>
          <w:rFonts w:ascii="Arial" w:cs="Arial" w:eastAsia="Arial" w:hAnsi="Arial"/>
          <w:sz w:val="18"/>
          <w:szCs w:val="18"/>
          <w:color w:val="auto"/>
        </w:rPr>
      </w:pPr>
    </w:p>
    <w:p>
      <w:pPr>
        <w:ind w:firstLine="1304"/>
        <w:spacing w:after="0" w:line="229" w:lineRule="auto"/>
        <w:tabs>
          <w:tab w:leader="none" w:pos="1944" w:val="left"/>
        </w:tabs>
        <w:numPr>
          <w:ilvl w:val="1"/>
          <w:numId w:val="219"/>
        </w:numPr>
        <w:rPr>
          <w:rFonts w:ascii="Arial" w:cs="Arial" w:eastAsia="Arial" w:hAnsi="Arial"/>
          <w:sz w:val="20"/>
          <w:szCs w:val="20"/>
          <w:color w:val="auto"/>
        </w:rPr>
      </w:pPr>
      <w:r>
        <w:rPr>
          <w:rFonts w:ascii="Arial" w:cs="Arial" w:eastAsia="Arial" w:hAnsi="Arial"/>
          <w:sz w:val="20"/>
          <w:szCs w:val="20"/>
          <w:color w:val="auto"/>
        </w:rPr>
        <w:t>At the time of and immediately after effectiveness of this Agreement, no Default or Event of Default shall have occurred and be continuing.</w:t>
      </w:r>
    </w:p>
    <w:p>
      <w:pPr>
        <w:spacing w:after="0" w:line="195" w:lineRule="exact"/>
        <w:rPr>
          <w:rFonts w:ascii="Arial" w:cs="Arial" w:eastAsia="Arial" w:hAnsi="Arial"/>
          <w:sz w:val="20"/>
          <w:szCs w:val="20"/>
          <w:color w:val="auto"/>
        </w:rPr>
      </w:pPr>
    </w:p>
    <w:p>
      <w:pPr>
        <w:ind w:left="1060" w:hanging="404"/>
        <w:spacing w:after="0"/>
        <w:tabs>
          <w:tab w:leader="none" w:pos="1060"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Reaffirmation; Reference to and Effect on the Loan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34" w:lineRule="auto"/>
        <w:tabs>
          <w:tab w:leader="none" w:pos="194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From and after the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Agreement. The parties hereto agree that from the Amendment Effective Date, this Agreement and the Credit Agreement shall be construed as a single agreement and this Agreement is a Loan Document. Except as expressly set forth herein, this Agreement shall not modify, limit, impair, constitute a waiver of or otherwise affect the rights and remedies of the Lenders or the Administrative Agent under the Credit Agreement or any other Loan Document, and shall not (and shall not be deemed to) alter, modify, amend or in any way affect any of the terms, conditions, obligations, covenants or agreements of the Borrower and each other Loan Party contained in the Credit Agreement or any other provision of the Credit Agreement or of any other Loan Document, all of which are ratified and affirmed by the Borrower and each Loan Party, as applicable, in all respects and shall continue in full force and effect. This Agreement shall not constitute a novation of the Credit Agreement or any of the Loan Documents.</w:t>
      </w:r>
    </w:p>
    <w:p>
      <w:pPr>
        <w:spacing w:after="0" w:line="169" w:lineRule="exact"/>
        <w:rPr>
          <w:rFonts w:ascii="Arial" w:cs="Arial" w:eastAsia="Arial" w:hAnsi="Arial"/>
          <w:sz w:val="18"/>
          <w:szCs w:val="18"/>
          <w:color w:val="auto"/>
        </w:rPr>
      </w:pPr>
    </w:p>
    <w:p>
      <w:pPr>
        <w:jc w:val="both"/>
        <w:ind w:firstLine="1304"/>
        <w:spacing w:after="0" w:line="214" w:lineRule="auto"/>
        <w:tabs>
          <w:tab w:leader="none" w:pos="1944" w:val="left"/>
        </w:tabs>
        <w:numPr>
          <w:ilvl w:val="1"/>
          <w:numId w:val="219"/>
        </w:numPr>
        <w:rPr>
          <w:rFonts w:ascii="Arial" w:cs="Arial" w:eastAsia="Arial" w:hAnsi="Arial"/>
          <w:sz w:val="20"/>
          <w:szCs w:val="20"/>
          <w:color w:val="auto"/>
        </w:rPr>
      </w:pPr>
      <w:r>
        <w:rPr>
          <w:rFonts w:ascii="Arial" w:cs="Arial" w:eastAsia="Arial" w:hAnsi="Arial"/>
          <w:sz w:val="20"/>
          <w:szCs w:val="20"/>
          <w:color w:val="auto"/>
        </w:rPr>
        <w:t>By executing and delivering a copy of this Agreement, the Borrower and each other Loan Party hereby reaffirms its prior grant and the validity of the Liens granted by it pursuant to the Security Documents, affirms, acknowledges and confirms all of its guaranty and other obligations and liabilities under the Credit Agreement, as amended hereby, and each other Loan Document to which it is a party, all in accordance with respective the terms thereof, and acknowledges and agrees that such obligations and liabilities continue in full force and effect in respect of, and to secure, the Obligations under the Credit Agreement and the other Loan Documents, in each case after giving effect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1240"/>
          </w:cols>
          <w:pgMar w:left="320" w:top="1405" w:right="339" w:bottom="1440" w:gutter="0" w:footer="0" w:header="0"/>
        </w:sectPr>
      </w:pPr>
    </w:p>
    <w:bookmarkStart w:id="234" w:name="page235"/>
    <w:bookmarkEnd w:id="234"/>
    <w:p>
      <w:pPr>
        <w:jc w:val="both"/>
        <w:ind w:firstLine="1304"/>
        <w:spacing w:after="0" w:line="223" w:lineRule="auto"/>
        <w:tabs>
          <w:tab w:leader="none" w:pos="1944"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68" w:lineRule="exact"/>
        <w:rPr>
          <w:rFonts w:ascii="Arial" w:cs="Arial" w:eastAsia="Arial" w:hAnsi="Arial"/>
          <w:sz w:val="20"/>
          <w:szCs w:val="20"/>
          <w:color w:val="auto"/>
        </w:rPr>
      </w:pPr>
    </w:p>
    <w:p>
      <w:pPr>
        <w:ind w:firstLine="1304"/>
        <w:spacing w:after="0" w:line="236" w:lineRule="auto"/>
        <w:tabs>
          <w:tab w:leader="none" w:pos="1944" w:val="left"/>
        </w:tabs>
        <w:numPr>
          <w:ilvl w:val="1"/>
          <w:numId w:val="220"/>
        </w:numPr>
        <w:rPr>
          <w:rFonts w:ascii="Arial" w:cs="Arial" w:eastAsia="Arial" w:hAnsi="Arial"/>
          <w:sz w:val="20"/>
          <w:szCs w:val="20"/>
          <w:color w:val="auto"/>
        </w:rPr>
      </w:pPr>
      <w:r>
        <w:rPr>
          <w:rFonts w:ascii="Arial" w:cs="Arial" w:eastAsia="Arial" w:hAnsi="Arial"/>
          <w:sz w:val="20"/>
          <w:szCs w:val="20"/>
          <w:color w:val="auto"/>
        </w:rPr>
        <w:t>In the event of any conflict between the terms of this Agreement and the terms of the Credit Agreement or the other Loan Documents, the terms hereof shall control.</w:t>
      </w:r>
    </w:p>
    <w:p>
      <w:pPr>
        <w:spacing w:after="0" w:line="155" w:lineRule="exact"/>
        <w:rPr>
          <w:rFonts w:ascii="Arial" w:cs="Arial" w:eastAsia="Arial" w:hAnsi="Arial"/>
          <w:sz w:val="20"/>
          <w:szCs w:val="20"/>
          <w:color w:val="auto"/>
        </w:rPr>
      </w:pPr>
    </w:p>
    <w:p>
      <w:pPr>
        <w:ind w:left="1000" w:hanging="344"/>
        <w:spacing w:after="0"/>
        <w:tabs>
          <w:tab w:leader="none" w:pos="1000"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Consent to Service of Process; Waiver of Jury Trial, Etc</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4"/>
        <w:spacing w:after="0" w:line="285" w:lineRule="auto"/>
        <w:tabs>
          <w:tab w:leader="none" w:pos="180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 without regard to conflict of laws principles thereof to the extent such principles would cause the application of the law of another state.</w:t>
      </w:r>
    </w:p>
    <w:p>
      <w:pPr>
        <w:spacing w:after="0" w:line="142" w:lineRule="exact"/>
        <w:rPr>
          <w:rFonts w:ascii="Arial" w:cs="Arial" w:eastAsia="Arial" w:hAnsi="Arial"/>
          <w:sz w:val="18"/>
          <w:szCs w:val="18"/>
          <w:color w:val="auto"/>
        </w:rPr>
      </w:pPr>
    </w:p>
    <w:p>
      <w:pPr>
        <w:jc w:val="both"/>
        <w:ind w:firstLine="1304"/>
        <w:spacing w:after="0" w:line="227" w:lineRule="auto"/>
        <w:tabs>
          <w:tab w:leader="none" w:pos="1767" w:val="left"/>
        </w:tabs>
        <w:numPr>
          <w:ilvl w:val="1"/>
          <w:numId w:val="221"/>
        </w:numPr>
        <w:rPr>
          <w:rFonts w:ascii="Arial" w:cs="Arial" w:eastAsia="Arial" w:hAnsi="Arial"/>
          <w:sz w:val="20"/>
          <w:szCs w:val="20"/>
          <w:color w:val="auto"/>
        </w:rPr>
      </w:pPr>
      <w:r>
        <w:rPr>
          <w:rFonts w:ascii="Arial" w:cs="Arial" w:eastAsia="Arial" w:hAnsi="Arial"/>
          <w:sz w:val="20"/>
          <w:szCs w:val="20"/>
          <w:color w:val="auto"/>
        </w:rPr>
        <w:t xml:space="preserve">SECTION 10.09 (GOVERNING LAW; JURISDICTION; CONSENT TO SERVICE OF PROCESS) AND SECTION 10.10 (WAIVER OF JURY TRIAL) OF THE CREDIT AGREEMENT ARE HEREBY INCORPORATED BY REFERENCE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MUTANDIS</w:t>
      </w:r>
      <w:r>
        <w:rPr>
          <w:rFonts w:ascii="Arial" w:cs="Arial" w:eastAsia="Arial" w:hAnsi="Arial"/>
          <w:sz w:val="20"/>
          <w:szCs w:val="20"/>
          <w:color w:val="auto"/>
        </w:rPr>
        <w:t>.</w:t>
      </w:r>
    </w:p>
    <w:p>
      <w:pPr>
        <w:spacing w:after="0" w:line="157" w:lineRule="exact"/>
        <w:rPr>
          <w:rFonts w:ascii="Arial" w:cs="Arial" w:eastAsia="Arial" w:hAnsi="Arial"/>
          <w:sz w:val="20"/>
          <w:szCs w:val="20"/>
          <w:color w:val="auto"/>
        </w:rPr>
      </w:pPr>
    </w:p>
    <w:p>
      <w:pPr>
        <w:jc w:val="both"/>
        <w:ind w:firstLine="656"/>
        <w:spacing w:after="0" w:line="212" w:lineRule="auto"/>
        <w:tabs>
          <w:tab w:leader="none" w:pos="1077"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Amendments; Headings; Severability</w:t>
      </w:r>
      <w:r>
        <w:rPr>
          <w:rFonts w:ascii="Arial" w:cs="Arial" w:eastAsia="Arial" w:hAnsi="Arial"/>
          <w:sz w:val="20"/>
          <w:szCs w:val="20"/>
          <w:color w:val="auto"/>
        </w:rPr>
        <w:t>. This Agreement may not be amended nor may any provision hereof be waived except pursuant to a writing signed by Parent, the Borrower, the other Loan Parties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6" w:lineRule="exact"/>
        <w:rPr>
          <w:rFonts w:ascii="Arial" w:cs="Arial" w:eastAsia="Arial" w:hAnsi="Arial"/>
          <w:sz w:val="20"/>
          <w:szCs w:val="20"/>
          <w:color w:val="auto"/>
        </w:rPr>
      </w:pPr>
    </w:p>
    <w:p>
      <w:pPr>
        <w:jc w:val="both"/>
        <w:ind w:firstLine="656"/>
        <w:spacing w:after="0" w:line="235" w:lineRule="auto"/>
        <w:tabs>
          <w:tab w:leader="none" w:pos="110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The words “execution,” “signed,” “signature,” and words of like import in this Agreement shall be deemed to include electronic signatures or electronic records, each of which shall be of the same legal effect, validity or enforceability as a manually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executed signature or the use of a paper-based recordkeeping system, as the case may be, to the extent and as provided for in any applicable law, including the Federal Electronic Signatures in Global and National Commerce Act, the New York State Electronic Signatures and</w:t>
      </w:r>
    </w:p>
    <w:p>
      <w:pPr>
        <w:spacing w:after="0" w:line="211" w:lineRule="auto"/>
        <w:rPr>
          <w:sz w:val="20"/>
          <w:szCs w:val="20"/>
          <w:color w:val="auto"/>
        </w:rPr>
      </w:pPr>
      <w:r>
        <w:rPr>
          <w:rFonts w:ascii="Arial" w:cs="Arial" w:eastAsia="Arial" w:hAnsi="Arial"/>
          <w:sz w:val="20"/>
          <w:szCs w:val="20"/>
          <w:color w:val="auto"/>
        </w:rPr>
        <w:t>Records Act, or any other similar state laws based on the Uniform Electronic Transactions Act.</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1240"/>
          </w:cols>
          <w:pgMar w:left="320" w:top="1405" w:right="339" w:bottom="1440" w:gutter="0" w:footer="0" w:header="0"/>
        </w:sectPr>
      </w:pPr>
    </w:p>
    <w:bookmarkStart w:id="235" w:name="page236"/>
    <w:bookmarkEnd w:id="235"/>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FLUENCE ENERGY, LLC</w:t>
      </w:r>
    </w:p>
    <w:p>
      <w:pPr>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gridSpan w:val="3"/>
          </w:tcPr>
          <w:p>
            <w:pPr>
              <w:ind w:left="180"/>
              <w:spacing w:after="0"/>
              <w:rPr>
                <w:sz w:val="20"/>
                <w:szCs w:val="20"/>
                <w:color w:val="auto"/>
              </w:rPr>
            </w:pPr>
            <w:r>
              <w:rPr>
                <w:rFonts w:ascii="Arial" w:cs="Arial" w:eastAsia="Arial" w:hAnsi="Arial"/>
                <w:sz w:val="20"/>
                <w:szCs w:val="20"/>
                <w:color w:val="auto"/>
              </w:rPr>
              <w:t>/s/ Manavendra Sial</w:t>
            </w:r>
          </w:p>
        </w:tc>
      </w:tr>
      <w:tr>
        <w:trPr>
          <w:trHeight w:val="166"/>
        </w:trPr>
        <w:tc>
          <w:tcPr>
            <w:tcW w:w="500" w:type="dxa"/>
            <w:vAlign w:val="bottom"/>
          </w:tcPr>
          <w:p>
            <w:pPr>
              <w:spacing w:after="0"/>
              <w:rPr>
                <w:sz w:val="14"/>
                <w:szCs w:val="14"/>
                <w:color w:val="auto"/>
              </w:rPr>
            </w:pPr>
          </w:p>
        </w:tc>
        <w:tc>
          <w:tcPr>
            <w:tcW w:w="2760" w:type="dxa"/>
            <w:vAlign w:val="bottom"/>
            <w:tcBorders>
              <w:top w:val="single" w:sz="8" w:color="auto"/>
            </w:tcBorders>
          </w:tcPr>
          <w:p>
            <w:pPr>
              <w:ind w:left="160"/>
              <w:spacing w:after="0" w:line="165" w:lineRule="exact"/>
              <w:rPr>
                <w:sz w:val="20"/>
                <w:szCs w:val="20"/>
                <w:color w:val="auto"/>
              </w:rPr>
            </w:pPr>
            <w:r>
              <w:rPr>
                <w:rFonts w:ascii="Arial" w:cs="Arial" w:eastAsia="Arial" w:hAnsi="Arial"/>
                <w:sz w:val="19"/>
                <w:szCs w:val="19"/>
                <w:color w:val="auto"/>
              </w:rPr>
              <w:t>Name: Manavendra Sial</w:t>
            </w: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500" w:type="dxa"/>
            <w:vAlign w:val="bottom"/>
          </w:tcPr>
          <w:p>
            <w:pPr>
              <w:spacing w:after="0"/>
              <w:rPr>
                <w:sz w:val="21"/>
                <w:szCs w:val="21"/>
                <w:color w:val="auto"/>
              </w:rPr>
            </w:pPr>
          </w:p>
        </w:tc>
        <w:tc>
          <w:tcPr>
            <w:tcW w:w="4940" w:type="dxa"/>
            <w:vAlign w:val="bottom"/>
            <w:gridSpan w:val="3"/>
          </w:tcPr>
          <w:p>
            <w:pPr>
              <w:ind w:left="160"/>
              <w:spacing w:after="0"/>
              <w:rPr>
                <w:sz w:val="20"/>
                <w:szCs w:val="20"/>
                <w:color w:val="auto"/>
              </w:rPr>
            </w:pPr>
            <w:r>
              <w:rPr>
                <w:rFonts w:ascii="Arial" w:cs="Arial" w:eastAsia="Arial" w:hAnsi="Arial"/>
                <w:sz w:val="20"/>
                <w:szCs w:val="20"/>
                <w:color w:val="auto"/>
                <w:w w:val="98"/>
              </w:rPr>
              <w:t>Title: Senior Vice President and Chief Financial Officer</w:t>
            </w:r>
          </w:p>
        </w:tc>
      </w:tr>
      <w:tr>
        <w:trPr>
          <w:trHeight w:val="401"/>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gridSpan w:val="3"/>
          </w:tcPr>
          <w:p>
            <w:pPr>
              <w:ind w:left="180"/>
              <w:spacing w:after="0"/>
              <w:rPr>
                <w:sz w:val="20"/>
                <w:szCs w:val="20"/>
                <w:color w:val="auto"/>
              </w:rPr>
            </w:pPr>
            <w:r>
              <w:rPr>
                <w:rFonts w:ascii="Arial" w:cs="Arial" w:eastAsia="Arial" w:hAnsi="Arial"/>
                <w:sz w:val="20"/>
                <w:szCs w:val="20"/>
                <w:color w:val="auto"/>
              </w:rPr>
              <w:t>/s/ Francis A. Fuselier</w:t>
            </w:r>
          </w:p>
        </w:tc>
      </w:tr>
      <w:tr>
        <w:trPr>
          <w:trHeight w:val="166"/>
        </w:trPr>
        <w:tc>
          <w:tcPr>
            <w:tcW w:w="500" w:type="dxa"/>
            <w:vAlign w:val="bottom"/>
          </w:tcPr>
          <w:p>
            <w:pPr>
              <w:spacing w:after="0"/>
              <w:rPr>
                <w:sz w:val="14"/>
                <w:szCs w:val="14"/>
                <w:color w:val="auto"/>
              </w:rPr>
            </w:pPr>
          </w:p>
        </w:tc>
        <w:tc>
          <w:tcPr>
            <w:tcW w:w="2920" w:type="dxa"/>
            <w:vAlign w:val="bottom"/>
            <w:tcBorders>
              <w:top w:val="single" w:sz="8" w:color="auto"/>
            </w:tcBorders>
            <w:gridSpan w:val="2"/>
          </w:tcPr>
          <w:p>
            <w:pPr>
              <w:ind w:left="160"/>
              <w:spacing w:after="0" w:line="165" w:lineRule="exact"/>
              <w:rPr>
                <w:sz w:val="20"/>
                <w:szCs w:val="20"/>
                <w:color w:val="auto"/>
              </w:rPr>
            </w:pPr>
            <w:r>
              <w:rPr>
                <w:rFonts w:ascii="Arial" w:cs="Arial" w:eastAsia="Arial" w:hAnsi="Arial"/>
                <w:sz w:val="19"/>
                <w:szCs w:val="19"/>
                <w:color w:val="auto"/>
              </w:rPr>
              <w:t>Name: Francis A. Fuselier</w:t>
            </w:r>
          </w:p>
        </w:tc>
        <w:tc>
          <w:tcPr>
            <w:tcW w:w="2020" w:type="dxa"/>
            <w:vAlign w:val="bottom"/>
          </w:tcPr>
          <w:p>
            <w:pPr>
              <w:spacing w:after="0"/>
              <w:rPr>
                <w:sz w:val="14"/>
                <w:szCs w:val="14"/>
                <w:color w:val="auto"/>
              </w:rPr>
            </w:pPr>
          </w:p>
        </w:tc>
      </w:tr>
      <w:tr>
        <w:trPr>
          <w:trHeight w:val="250"/>
        </w:trPr>
        <w:tc>
          <w:tcPr>
            <w:tcW w:w="500" w:type="dxa"/>
            <w:vAlign w:val="bottom"/>
          </w:tcPr>
          <w:p>
            <w:pPr>
              <w:spacing w:after="0"/>
              <w:rPr>
                <w:sz w:val="21"/>
                <w:szCs w:val="21"/>
                <w:color w:val="auto"/>
              </w:rPr>
            </w:pPr>
          </w:p>
        </w:tc>
        <w:tc>
          <w:tcPr>
            <w:tcW w:w="4940" w:type="dxa"/>
            <w:vAlign w:val="bottom"/>
            <w:gridSpan w:val="3"/>
          </w:tcPr>
          <w:p>
            <w:pPr>
              <w:ind w:left="160"/>
              <w:spacing w:after="0"/>
              <w:rPr>
                <w:sz w:val="20"/>
                <w:szCs w:val="20"/>
                <w:color w:val="auto"/>
              </w:rPr>
            </w:pPr>
            <w:r>
              <w:rPr>
                <w:rFonts w:ascii="Arial" w:cs="Arial" w:eastAsia="Arial" w:hAnsi="Arial"/>
                <w:sz w:val="20"/>
                <w:szCs w:val="20"/>
                <w:color w:val="auto"/>
                <w:w w:val="88"/>
              </w:rPr>
              <w:t>Title: 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3]</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1240"/>
          </w:cols>
          <w:pgMar w:left="320" w:top="1405" w:right="339" w:bottom="1440" w:gutter="0" w:footer="0" w:header="0"/>
        </w:sectPr>
      </w:pPr>
    </w:p>
    <w:bookmarkStart w:id="236" w:name="page237"/>
    <w:bookmarkEnd w:id="236"/>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gridSpan w:val="3"/>
          </w:tcPr>
          <w:p>
            <w:pPr>
              <w:ind w:left="180"/>
              <w:spacing w:after="0"/>
              <w:rPr>
                <w:sz w:val="20"/>
                <w:szCs w:val="20"/>
                <w:color w:val="auto"/>
              </w:rPr>
            </w:pPr>
            <w:r>
              <w:rPr>
                <w:rFonts w:ascii="Arial" w:cs="Arial" w:eastAsia="Arial" w:hAnsi="Arial"/>
                <w:sz w:val="20"/>
                <w:szCs w:val="20"/>
                <w:color w:val="auto"/>
              </w:rPr>
              <w:t>/s/ Manavendra Sial</w:t>
            </w:r>
          </w:p>
        </w:tc>
      </w:tr>
      <w:tr>
        <w:trPr>
          <w:trHeight w:val="179"/>
        </w:trPr>
        <w:tc>
          <w:tcPr>
            <w:tcW w:w="500" w:type="dxa"/>
            <w:vAlign w:val="bottom"/>
          </w:tcPr>
          <w:p>
            <w:pPr>
              <w:spacing w:after="0"/>
              <w:rPr>
                <w:sz w:val="15"/>
                <w:szCs w:val="15"/>
                <w:color w:val="auto"/>
              </w:rPr>
            </w:pPr>
          </w:p>
        </w:tc>
        <w:tc>
          <w:tcPr>
            <w:tcW w:w="2760" w:type="dxa"/>
            <w:vAlign w:val="bottom"/>
            <w:tcBorders>
              <w:top w:val="single" w:sz="8" w:color="auto"/>
            </w:tcBorders>
          </w:tcPr>
          <w:p>
            <w:pPr>
              <w:ind w:left="160"/>
              <w:spacing w:after="0" w:line="179" w:lineRule="exact"/>
              <w:rPr>
                <w:sz w:val="20"/>
                <w:szCs w:val="20"/>
                <w:color w:val="auto"/>
              </w:rPr>
            </w:pPr>
            <w:r>
              <w:rPr>
                <w:rFonts w:ascii="Arial" w:cs="Arial" w:eastAsia="Arial" w:hAnsi="Arial"/>
                <w:sz w:val="20"/>
                <w:szCs w:val="20"/>
                <w:color w:val="auto"/>
              </w:rPr>
              <w:t>Name: Manavendra Sial</w:t>
            </w: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4940" w:type="dxa"/>
            <w:vAlign w:val="bottom"/>
            <w:gridSpan w:val="3"/>
          </w:tcPr>
          <w:p>
            <w:pPr>
              <w:ind w:left="160"/>
              <w:spacing w:after="0"/>
              <w:rPr>
                <w:sz w:val="20"/>
                <w:szCs w:val="20"/>
                <w:color w:val="auto"/>
              </w:rPr>
            </w:pPr>
            <w:r>
              <w:rPr>
                <w:rFonts w:ascii="Arial" w:cs="Arial" w:eastAsia="Arial" w:hAnsi="Arial"/>
                <w:sz w:val="20"/>
                <w:szCs w:val="20"/>
                <w:color w:val="auto"/>
                <w:w w:val="98"/>
              </w:rPr>
              <w:t>Title: Senior Vice President and Chief Financial Officer</w:t>
            </w:r>
          </w:p>
        </w:tc>
      </w:tr>
      <w:tr>
        <w:trPr>
          <w:trHeight w:val="38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940" w:type="dxa"/>
            <w:vAlign w:val="bottom"/>
            <w:gridSpan w:val="3"/>
          </w:tcPr>
          <w:p>
            <w:pPr>
              <w:ind w:left="180"/>
              <w:spacing w:after="0"/>
              <w:rPr>
                <w:sz w:val="20"/>
                <w:szCs w:val="20"/>
                <w:color w:val="auto"/>
              </w:rPr>
            </w:pPr>
            <w:r>
              <w:rPr>
                <w:rFonts w:ascii="Arial" w:cs="Arial" w:eastAsia="Arial" w:hAnsi="Arial"/>
                <w:sz w:val="20"/>
                <w:szCs w:val="20"/>
                <w:color w:val="auto"/>
              </w:rPr>
              <w:t>/s/ Francis A. Fuselier</w:t>
            </w:r>
          </w:p>
        </w:tc>
      </w:tr>
      <w:tr>
        <w:trPr>
          <w:trHeight w:val="179"/>
        </w:trPr>
        <w:tc>
          <w:tcPr>
            <w:tcW w:w="500" w:type="dxa"/>
            <w:vAlign w:val="bottom"/>
          </w:tcPr>
          <w:p>
            <w:pPr>
              <w:spacing w:after="0"/>
              <w:rPr>
                <w:sz w:val="15"/>
                <w:szCs w:val="15"/>
                <w:color w:val="auto"/>
              </w:rPr>
            </w:pPr>
          </w:p>
        </w:tc>
        <w:tc>
          <w:tcPr>
            <w:tcW w:w="2920" w:type="dxa"/>
            <w:vAlign w:val="bottom"/>
            <w:tcBorders>
              <w:top w:val="single" w:sz="8" w:color="auto"/>
            </w:tcBorders>
            <w:gridSpan w:val="2"/>
          </w:tcPr>
          <w:p>
            <w:pPr>
              <w:ind w:left="160"/>
              <w:spacing w:after="0" w:line="179" w:lineRule="exact"/>
              <w:rPr>
                <w:sz w:val="20"/>
                <w:szCs w:val="20"/>
                <w:color w:val="auto"/>
              </w:rPr>
            </w:pPr>
            <w:r>
              <w:rPr>
                <w:rFonts w:ascii="Arial" w:cs="Arial" w:eastAsia="Arial" w:hAnsi="Arial"/>
                <w:sz w:val="20"/>
                <w:szCs w:val="20"/>
                <w:color w:val="auto"/>
              </w:rPr>
              <w:t>Name: Francis A. Fuselier</w:t>
            </w:r>
          </w:p>
        </w:tc>
        <w:tc>
          <w:tcPr>
            <w:tcW w:w="202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4940" w:type="dxa"/>
            <w:vAlign w:val="bottom"/>
            <w:gridSpan w:val="3"/>
          </w:tcPr>
          <w:p>
            <w:pPr>
              <w:ind w:left="160"/>
              <w:spacing w:after="0"/>
              <w:rPr>
                <w:sz w:val="20"/>
                <w:szCs w:val="20"/>
                <w:color w:val="auto"/>
              </w:rPr>
            </w:pPr>
            <w:r>
              <w:rPr>
                <w:rFonts w:ascii="Arial" w:cs="Arial" w:eastAsia="Arial" w:hAnsi="Arial"/>
                <w:sz w:val="20"/>
                <w:szCs w:val="20"/>
                <w:color w:val="auto"/>
                <w:w w:val="88"/>
              </w:rPr>
              <w:t>Title: 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0139"/>
          </w:cols>
          <w:pgMar w:left="320" w:top="1394" w:right="1440" w:bottom="1440" w:gutter="0" w:footer="0" w:header="0"/>
        </w:sectPr>
      </w:pPr>
    </w:p>
    <w:bookmarkStart w:id="237" w:name="page238"/>
    <w:bookmarkEnd w:id="237"/>
    <w:p>
      <w:pPr>
        <w:spacing w:after="0"/>
        <w:rPr>
          <w:sz w:val="20"/>
          <w:szCs w:val="20"/>
          <w:color w:val="auto"/>
        </w:rPr>
      </w:pPr>
      <w:r>
        <w:rPr>
          <w:rFonts w:ascii="Arial" w:cs="Arial" w:eastAsia="Arial" w:hAnsi="Arial"/>
          <w:sz w:val="20"/>
          <w:szCs w:val="20"/>
          <w:b w:val="1"/>
          <w:bCs w:val="1"/>
          <w:color w:val="auto"/>
        </w:rPr>
        <w:t>FLUENCE ENERGY, GMBH</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Markus Meyer</w:t>
            </w:r>
          </w:p>
        </w:tc>
        <w:tc>
          <w:tcPr>
            <w:tcW w:w="280" w:type="dxa"/>
            <w:vAlign w:val="bottom"/>
          </w:tcPr>
          <w:p>
            <w:pPr>
              <w:spacing w:after="0"/>
              <w:rPr>
                <w:sz w:val="19"/>
                <w:szCs w:val="19"/>
                <w:color w:val="auto"/>
              </w:rPr>
            </w:pPr>
          </w:p>
        </w:tc>
      </w:tr>
      <w:tr>
        <w:trPr>
          <w:trHeight w:val="179"/>
        </w:trPr>
        <w:tc>
          <w:tcPr>
            <w:tcW w:w="500" w:type="dxa"/>
            <w:vAlign w:val="bottom"/>
          </w:tcPr>
          <w:p>
            <w:pPr>
              <w:spacing w:after="0"/>
              <w:rPr>
                <w:sz w:val="15"/>
                <w:szCs w:val="15"/>
                <w:color w:val="auto"/>
              </w:rPr>
            </w:pPr>
          </w:p>
        </w:tc>
        <w:tc>
          <w:tcPr>
            <w:tcW w:w="2380" w:type="dxa"/>
            <w:vAlign w:val="bottom"/>
          </w:tcPr>
          <w:p>
            <w:pPr>
              <w:ind w:left="160"/>
              <w:spacing w:after="0" w:line="179" w:lineRule="exact"/>
              <w:rPr>
                <w:sz w:val="20"/>
                <w:szCs w:val="20"/>
                <w:color w:val="auto"/>
              </w:rPr>
            </w:pPr>
            <w:r>
              <w:rPr>
                <w:rFonts w:ascii="Arial" w:cs="Arial" w:eastAsia="Arial" w:hAnsi="Arial"/>
                <w:sz w:val="20"/>
                <w:szCs w:val="20"/>
                <w:color w:val="auto"/>
              </w:rPr>
              <w:t>Name: Markus Meyer</w:t>
            </w:r>
          </w:p>
        </w:tc>
        <w:tc>
          <w:tcPr>
            <w:tcW w:w="28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380" w:type="dxa"/>
            <w:vAlign w:val="bottom"/>
          </w:tcPr>
          <w:p>
            <w:pPr>
              <w:ind w:left="160"/>
              <w:spacing w:after="0"/>
              <w:rPr>
                <w:sz w:val="20"/>
                <w:szCs w:val="20"/>
                <w:color w:val="auto"/>
              </w:rPr>
            </w:pPr>
            <w:r>
              <w:rPr>
                <w:rFonts w:ascii="Arial" w:cs="Arial" w:eastAsia="Arial" w:hAnsi="Arial"/>
                <w:sz w:val="20"/>
                <w:szCs w:val="20"/>
                <w:color w:val="auto"/>
              </w:rPr>
              <w:t>Title: Managing Director</w:t>
            </w:r>
          </w:p>
        </w:tc>
        <w:tc>
          <w:tcPr>
            <w:tcW w:w="280" w:type="dxa"/>
            <w:vAlign w:val="bottom"/>
          </w:tcPr>
          <w:p>
            <w:pPr>
              <w:spacing w:after="0"/>
              <w:rPr>
                <w:sz w:val="21"/>
                <w:szCs w:val="21"/>
                <w:color w:val="auto"/>
              </w:rPr>
            </w:pPr>
          </w:p>
        </w:tc>
      </w:tr>
      <w:tr>
        <w:trPr>
          <w:trHeight w:val="38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3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Michael Gillessen</w:t>
            </w:r>
          </w:p>
        </w:tc>
        <w:tc>
          <w:tcPr>
            <w:tcW w:w="280" w:type="dxa"/>
            <w:vAlign w:val="bottom"/>
            <w:tcBorders>
              <w:bottom w:val="single" w:sz="8" w:color="auto"/>
            </w:tcBorders>
          </w:tcPr>
          <w:p>
            <w:pPr>
              <w:spacing w:after="0"/>
              <w:rPr>
                <w:sz w:val="24"/>
                <w:szCs w:val="24"/>
                <w:color w:val="auto"/>
              </w:rPr>
            </w:pPr>
          </w:p>
        </w:tc>
      </w:tr>
      <w:tr>
        <w:trPr>
          <w:trHeight w:val="179"/>
        </w:trPr>
        <w:tc>
          <w:tcPr>
            <w:tcW w:w="500" w:type="dxa"/>
            <w:vAlign w:val="bottom"/>
          </w:tcPr>
          <w:p>
            <w:pPr>
              <w:spacing w:after="0"/>
              <w:rPr>
                <w:sz w:val="15"/>
                <w:szCs w:val="15"/>
                <w:color w:val="auto"/>
              </w:rPr>
            </w:pPr>
          </w:p>
        </w:tc>
        <w:tc>
          <w:tcPr>
            <w:tcW w:w="2380" w:type="dxa"/>
            <w:vAlign w:val="bottom"/>
          </w:tcPr>
          <w:p>
            <w:pPr>
              <w:ind w:left="160"/>
              <w:spacing w:after="0" w:line="179" w:lineRule="exact"/>
              <w:rPr>
                <w:sz w:val="20"/>
                <w:szCs w:val="20"/>
                <w:color w:val="auto"/>
              </w:rPr>
            </w:pPr>
            <w:r>
              <w:rPr>
                <w:rFonts w:ascii="Arial" w:cs="Arial" w:eastAsia="Arial" w:hAnsi="Arial"/>
                <w:sz w:val="20"/>
                <w:szCs w:val="20"/>
                <w:color w:val="auto"/>
                <w:w w:val="99"/>
              </w:rPr>
              <w:t>Name: Michael Gillessen</w:t>
            </w:r>
          </w:p>
        </w:tc>
        <w:tc>
          <w:tcPr>
            <w:tcW w:w="28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380" w:type="dxa"/>
            <w:vAlign w:val="bottom"/>
          </w:tcPr>
          <w:p>
            <w:pPr>
              <w:ind w:left="160"/>
              <w:spacing w:after="0"/>
              <w:rPr>
                <w:sz w:val="20"/>
                <w:szCs w:val="20"/>
                <w:color w:val="auto"/>
              </w:rPr>
            </w:pPr>
            <w:r>
              <w:rPr>
                <w:rFonts w:ascii="Arial" w:cs="Arial" w:eastAsia="Arial" w:hAnsi="Arial"/>
                <w:sz w:val="20"/>
                <w:szCs w:val="20"/>
                <w:color w:val="auto"/>
              </w:rPr>
              <w:t>Title: Managing Director</w:t>
            </w:r>
          </w:p>
        </w:tc>
        <w:tc>
          <w:tcPr>
            <w:tcW w:w="2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0139"/>
          </w:cols>
          <w:pgMar w:left="320" w:top="1394" w:right="1440" w:bottom="1440" w:gutter="0" w:footer="0" w:header="0"/>
        </w:sectPr>
      </w:pPr>
    </w:p>
    <w:bookmarkStart w:id="238" w:name="page239"/>
    <w:bookmarkEnd w:id="238"/>
    <w:p>
      <w:pPr>
        <w:spacing w:after="0"/>
        <w:rPr>
          <w:sz w:val="20"/>
          <w:szCs w:val="20"/>
          <w:color w:val="auto"/>
        </w:rPr>
      </w:pPr>
      <w:r>
        <w:rPr>
          <w:rFonts w:ascii="Arial" w:cs="Arial" w:eastAsia="Arial" w:hAnsi="Arial"/>
          <w:sz w:val="20"/>
          <w:szCs w:val="20"/>
          <w:b w:val="1"/>
          <w:bCs w:val="1"/>
          <w:color w:val="auto"/>
        </w:rPr>
        <w:t>Executed as 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608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Signed by </w:t>
      </w:r>
      <w:r>
        <w:rPr>
          <w:rFonts w:ascii="Arial" w:cs="Arial" w:eastAsia="Arial" w:hAnsi="Arial"/>
          <w:sz w:val="22"/>
          <w:szCs w:val="22"/>
          <w:b w:val="1"/>
          <w:bCs w:val="1"/>
          <w:color w:val="auto"/>
        </w:rPr>
        <w:t>Fluence Energy Pty Ltd</w:t>
      </w:r>
      <w:r>
        <w:rPr>
          <w:rFonts w:ascii="Arial" w:cs="Arial" w:eastAsia="Arial" w:hAnsi="Arial"/>
          <w:sz w:val="22"/>
          <w:szCs w:val="22"/>
          <w:color w:val="auto"/>
        </w:rPr>
        <w:t xml:space="preserve"> in accordance with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section 127 of the </w:t>
      </w:r>
      <w:r>
        <w:rPr>
          <w:rFonts w:ascii="Arial" w:cs="Arial" w:eastAsia="Arial" w:hAnsi="Arial"/>
          <w:sz w:val="22"/>
          <w:szCs w:val="22"/>
          <w:i w:val="1"/>
          <w:iCs w:val="1"/>
          <w:color w:val="auto"/>
        </w:rPr>
        <w:t>Corporations Act 2001</w:t>
      </w:r>
      <w:r>
        <w:rPr>
          <w:rFonts w:ascii="Arial" w:cs="Arial" w:eastAsia="Arial" w:hAnsi="Arial"/>
          <w:sz w:val="22"/>
          <w:szCs w:val="22"/>
          <w:color w:val="auto"/>
        </w:rPr>
        <w:t xml:space="preserve"> (Cth) by: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320" w:type="dxa"/>
            <w:vAlign w:val="bottom"/>
          </w:tcPr>
          <w:p>
            <w:pPr>
              <w:ind w:left="20"/>
              <w:spacing w:after="0"/>
              <w:rPr>
                <w:sz w:val="20"/>
                <w:szCs w:val="20"/>
                <w:color w:val="auto"/>
              </w:rPr>
            </w:pPr>
            <w:r>
              <w:rPr>
                <w:rFonts w:ascii="Arial" w:cs="Arial" w:eastAsia="Arial" w:hAnsi="Arial"/>
                <w:sz w:val="22"/>
                <w:szCs w:val="22"/>
                <w:color w:val="auto"/>
              </w:rPr>
              <w:t>/s/ Peter Thompson</w:t>
            </w:r>
          </w:p>
        </w:tc>
        <w:tc>
          <w:tcPr>
            <w:tcW w:w="340" w:type="dxa"/>
            <w:vAlign w:val="bottom"/>
          </w:tcPr>
          <w:p>
            <w:pPr>
              <w:spacing w:after="0"/>
              <w:rPr>
                <w:sz w:val="23"/>
                <w:szCs w:val="23"/>
                <w:color w:val="auto"/>
              </w:rPr>
            </w:pPr>
          </w:p>
        </w:tc>
        <w:tc>
          <w:tcPr>
            <w:tcW w:w="5320" w:type="dxa"/>
            <w:vAlign w:val="bottom"/>
            <w:vMerge w:val="restart"/>
          </w:tcPr>
          <w:p>
            <w:pPr>
              <w:ind w:left="20"/>
              <w:spacing w:after="0"/>
              <w:rPr>
                <w:sz w:val="20"/>
                <w:szCs w:val="20"/>
                <w:color w:val="auto"/>
              </w:rPr>
            </w:pPr>
            <w:r>
              <w:rPr>
                <w:rFonts w:ascii="Arial" w:cs="Arial" w:eastAsia="Arial" w:hAnsi="Arial"/>
                <w:sz w:val="22"/>
                <w:szCs w:val="22"/>
                <w:color w:val="auto"/>
              </w:rPr>
              <w:t>/s/ Robert Edward Hills</w:t>
            </w:r>
          </w:p>
        </w:tc>
        <w:tc>
          <w:tcPr>
            <w:tcW w:w="0" w:type="dxa"/>
            <w:vAlign w:val="bottom"/>
          </w:tcPr>
          <w:p>
            <w:pPr>
              <w:spacing w:after="0"/>
              <w:rPr>
                <w:sz w:val="1"/>
                <w:szCs w:val="1"/>
                <w:color w:val="auto"/>
              </w:rPr>
            </w:pPr>
          </w:p>
        </w:tc>
      </w:tr>
      <w:tr>
        <w:trPr>
          <w:trHeight w:val="191"/>
        </w:trPr>
        <w:tc>
          <w:tcPr>
            <w:tcW w:w="53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Arial" w:cs="Arial" w:eastAsia="Arial" w:hAnsi="Arial"/>
                <w:sz w:val="22"/>
                <w:szCs w:val="22"/>
                <w:color w:val="auto"/>
              </w:rPr>
              <w:t>Signature of director</w:t>
            </w:r>
          </w:p>
        </w:tc>
        <w:tc>
          <w:tcPr>
            <w:tcW w:w="34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22"/>
                <w:szCs w:val="22"/>
                <w:color w:val="auto"/>
              </w:rPr>
              <w:t>Signature of director/secretary</w:t>
            </w:r>
          </w:p>
        </w:tc>
        <w:tc>
          <w:tcPr>
            <w:tcW w:w="0" w:type="dxa"/>
            <w:vAlign w:val="bottom"/>
          </w:tcPr>
          <w:p>
            <w:pPr>
              <w:spacing w:after="0"/>
              <w:rPr>
                <w:sz w:val="1"/>
                <w:szCs w:val="1"/>
                <w:color w:val="auto"/>
              </w:rPr>
            </w:pPr>
          </w:p>
        </w:tc>
      </w:tr>
      <w:tr>
        <w:trPr>
          <w:trHeight w:val="42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Peter Thompson</w:t>
            </w:r>
          </w:p>
        </w:tc>
        <w:tc>
          <w:tcPr>
            <w:tcW w:w="340" w:type="dxa"/>
            <w:vAlign w:val="bottom"/>
          </w:tcPr>
          <w:p>
            <w:pPr>
              <w:spacing w:after="0"/>
              <w:rPr>
                <w:sz w:val="24"/>
                <w:szCs w:val="24"/>
                <w:color w:val="auto"/>
              </w:rPr>
            </w:pP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Robert Edward Hills</w:t>
            </w: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Arial" w:cs="Arial" w:eastAsia="Arial" w:hAnsi="Arial"/>
                <w:sz w:val="22"/>
                <w:szCs w:val="22"/>
                <w:color w:val="auto"/>
              </w:rPr>
              <w:t>Name of director (print)</w:t>
            </w:r>
          </w:p>
        </w:tc>
        <w:tc>
          <w:tcPr>
            <w:tcW w:w="34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22"/>
                <w:szCs w:val="22"/>
                <w:color w:val="auto"/>
              </w:rPr>
              <w:t>Name of director/secretary (print)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Amendment No. 3]</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0980"/>
          </w:cols>
          <w:pgMar w:left="320" w:top="1399" w:right="599" w:bottom="1440" w:gutter="0" w:footer="0" w:header="0"/>
        </w:sectPr>
      </w:pPr>
    </w:p>
    <w:bookmarkStart w:id="239" w:name="page240"/>
    <w:bookmarkEnd w:id="239"/>
    <w:p>
      <w:pPr>
        <w:ind w:right="4279"/>
        <w:spacing w:after="0" w:line="239" w:lineRule="auto"/>
        <w:rPr>
          <w:sz w:val="20"/>
          <w:szCs w:val="20"/>
          <w:color w:val="auto"/>
        </w:rPr>
      </w:pPr>
      <w:r>
        <w:rPr>
          <w:rFonts w:ascii="Arial" w:cs="Arial" w:eastAsia="Arial" w:hAnsi="Arial"/>
          <w:sz w:val="20"/>
          <w:szCs w:val="20"/>
          <w:b w:val="1"/>
          <w:bCs w:val="1"/>
          <w:color w:val="auto"/>
        </w:rPr>
        <w:t xml:space="preserve">FLUENCE ENERGY GLOBAL PRODUCTION OPERATION, LLC </w:t>
      </w:r>
      <w:r>
        <w:rPr>
          <w:rFonts w:ascii="Arial" w:cs="Arial" w:eastAsia="Arial" w:hAnsi="Arial"/>
          <w:sz w:val="20"/>
          <w:szCs w:val="20"/>
          <w:color w:val="auto"/>
        </w:rPr>
        <w:t>as a Loan Party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gridSpan w:val="3"/>
          </w:tcPr>
          <w:p>
            <w:pPr>
              <w:ind w:left="180"/>
              <w:spacing w:after="0"/>
              <w:rPr>
                <w:sz w:val="20"/>
                <w:szCs w:val="20"/>
                <w:color w:val="auto"/>
              </w:rPr>
            </w:pPr>
            <w:r>
              <w:rPr>
                <w:rFonts w:ascii="Arial" w:cs="Arial" w:eastAsia="Arial" w:hAnsi="Arial"/>
                <w:sz w:val="20"/>
                <w:szCs w:val="20"/>
                <w:color w:val="auto"/>
              </w:rPr>
              <w:t>/s/ Manavendra Sial</w:t>
            </w:r>
          </w:p>
        </w:tc>
      </w:tr>
      <w:tr>
        <w:trPr>
          <w:trHeight w:val="179"/>
        </w:trPr>
        <w:tc>
          <w:tcPr>
            <w:tcW w:w="500" w:type="dxa"/>
            <w:vAlign w:val="bottom"/>
          </w:tcPr>
          <w:p>
            <w:pPr>
              <w:spacing w:after="0"/>
              <w:rPr>
                <w:sz w:val="15"/>
                <w:szCs w:val="15"/>
                <w:color w:val="auto"/>
              </w:rPr>
            </w:pPr>
          </w:p>
        </w:tc>
        <w:tc>
          <w:tcPr>
            <w:tcW w:w="2760" w:type="dxa"/>
            <w:vAlign w:val="bottom"/>
            <w:tcBorders>
              <w:top w:val="single" w:sz="8" w:color="auto"/>
            </w:tcBorders>
          </w:tcPr>
          <w:p>
            <w:pPr>
              <w:ind w:left="160"/>
              <w:spacing w:after="0" w:line="179" w:lineRule="exact"/>
              <w:rPr>
                <w:sz w:val="20"/>
                <w:szCs w:val="20"/>
                <w:color w:val="auto"/>
              </w:rPr>
            </w:pPr>
            <w:r>
              <w:rPr>
                <w:rFonts w:ascii="Arial" w:cs="Arial" w:eastAsia="Arial" w:hAnsi="Arial"/>
                <w:sz w:val="20"/>
                <w:szCs w:val="20"/>
                <w:color w:val="auto"/>
              </w:rPr>
              <w:t>Name: Manavendra Sial</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4560" w:type="dxa"/>
            <w:vAlign w:val="bottom"/>
            <w:gridSpan w:val="3"/>
          </w:tcPr>
          <w:p>
            <w:pPr>
              <w:ind w:left="160"/>
              <w:spacing w:after="0"/>
              <w:rPr>
                <w:sz w:val="20"/>
                <w:szCs w:val="20"/>
                <w:color w:val="auto"/>
              </w:rPr>
            </w:pPr>
            <w:r>
              <w:rPr>
                <w:rFonts w:ascii="Arial" w:cs="Arial" w:eastAsia="Arial" w:hAnsi="Arial"/>
                <w:sz w:val="20"/>
                <w:szCs w:val="20"/>
                <w:color w:val="auto"/>
                <w:w w:val="90"/>
              </w:rPr>
              <w:t>Title: Senior Vice President and Chief Financial Officer</w:t>
            </w:r>
          </w:p>
        </w:tc>
      </w:tr>
      <w:tr>
        <w:trPr>
          <w:trHeight w:val="38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560" w:type="dxa"/>
            <w:vAlign w:val="bottom"/>
            <w:gridSpan w:val="3"/>
          </w:tcPr>
          <w:p>
            <w:pPr>
              <w:ind w:left="180"/>
              <w:spacing w:after="0"/>
              <w:rPr>
                <w:sz w:val="20"/>
                <w:szCs w:val="20"/>
                <w:color w:val="auto"/>
              </w:rPr>
            </w:pPr>
            <w:r>
              <w:rPr>
                <w:rFonts w:ascii="Arial" w:cs="Arial" w:eastAsia="Arial" w:hAnsi="Arial"/>
                <w:sz w:val="20"/>
                <w:szCs w:val="20"/>
                <w:color w:val="auto"/>
              </w:rPr>
              <w:t>/s/ Francis A. Fuselier</w:t>
            </w:r>
          </w:p>
        </w:tc>
      </w:tr>
      <w:tr>
        <w:trPr>
          <w:trHeight w:val="179"/>
        </w:trPr>
        <w:tc>
          <w:tcPr>
            <w:tcW w:w="500" w:type="dxa"/>
            <w:vAlign w:val="bottom"/>
          </w:tcPr>
          <w:p>
            <w:pPr>
              <w:spacing w:after="0"/>
              <w:rPr>
                <w:sz w:val="15"/>
                <w:szCs w:val="15"/>
                <w:color w:val="auto"/>
              </w:rPr>
            </w:pPr>
          </w:p>
        </w:tc>
        <w:tc>
          <w:tcPr>
            <w:tcW w:w="2920" w:type="dxa"/>
            <w:vAlign w:val="bottom"/>
            <w:tcBorders>
              <w:top w:val="single" w:sz="8" w:color="auto"/>
            </w:tcBorders>
            <w:gridSpan w:val="2"/>
          </w:tcPr>
          <w:p>
            <w:pPr>
              <w:ind w:left="160"/>
              <w:spacing w:after="0" w:line="179" w:lineRule="exact"/>
              <w:rPr>
                <w:sz w:val="20"/>
                <w:szCs w:val="20"/>
                <w:color w:val="auto"/>
              </w:rPr>
            </w:pPr>
            <w:r>
              <w:rPr>
                <w:rFonts w:ascii="Arial" w:cs="Arial" w:eastAsia="Arial" w:hAnsi="Arial"/>
                <w:sz w:val="20"/>
                <w:szCs w:val="20"/>
                <w:color w:val="auto"/>
              </w:rPr>
              <w:t>Name: Francis A. Fuselier</w:t>
            </w:r>
          </w:p>
        </w:tc>
        <w:tc>
          <w:tcPr>
            <w:tcW w:w="164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4560" w:type="dxa"/>
            <w:vAlign w:val="bottom"/>
            <w:gridSpan w:val="3"/>
          </w:tcPr>
          <w:p>
            <w:pPr>
              <w:ind w:left="160"/>
              <w:spacing w:after="0"/>
              <w:rPr>
                <w:sz w:val="20"/>
                <w:szCs w:val="20"/>
                <w:color w:val="auto"/>
              </w:rPr>
            </w:pPr>
            <w:r>
              <w:rPr>
                <w:rFonts w:ascii="Arial" w:cs="Arial" w:eastAsia="Arial" w:hAnsi="Arial"/>
                <w:sz w:val="20"/>
                <w:szCs w:val="20"/>
                <w:color w:val="auto"/>
              </w:rPr>
              <w:t>Title: Senior 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0139"/>
          </w:cols>
          <w:pgMar w:left="320" w:top="1399" w:right="1440" w:bottom="1440" w:gutter="0" w:footer="0" w:header="0"/>
        </w:sectPr>
      </w:pPr>
    </w:p>
    <w:bookmarkStart w:id="240" w:name="page241"/>
    <w:bookmarkEnd w:id="240"/>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8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Edgard Tordecilla</w:t>
            </w:r>
          </w:p>
        </w:tc>
        <w:tc>
          <w:tcPr>
            <w:tcW w:w="220" w:type="dxa"/>
            <w:vAlign w:val="bottom"/>
          </w:tcPr>
          <w:p>
            <w:pPr>
              <w:spacing w:after="0"/>
              <w:rPr>
                <w:sz w:val="19"/>
                <w:szCs w:val="19"/>
                <w:color w:val="auto"/>
              </w:rPr>
            </w:pPr>
          </w:p>
        </w:tc>
      </w:tr>
      <w:tr>
        <w:trPr>
          <w:trHeight w:val="179"/>
        </w:trPr>
        <w:tc>
          <w:tcPr>
            <w:tcW w:w="500" w:type="dxa"/>
            <w:vAlign w:val="bottom"/>
          </w:tcPr>
          <w:p>
            <w:pPr>
              <w:spacing w:after="0"/>
              <w:rPr>
                <w:sz w:val="15"/>
                <w:szCs w:val="15"/>
                <w:color w:val="auto"/>
              </w:rPr>
            </w:pPr>
          </w:p>
        </w:tc>
        <w:tc>
          <w:tcPr>
            <w:tcW w:w="2840" w:type="dxa"/>
            <w:vAlign w:val="bottom"/>
          </w:tcPr>
          <w:p>
            <w:pPr>
              <w:ind w:left="160"/>
              <w:spacing w:after="0" w:line="179" w:lineRule="exact"/>
              <w:rPr>
                <w:sz w:val="20"/>
                <w:szCs w:val="20"/>
                <w:color w:val="auto"/>
              </w:rPr>
            </w:pPr>
            <w:r>
              <w:rPr>
                <w:rFonts w:ascii="Arial" w:cs="Arial" w:eastAsia="Arial" w:hAnsi="Arial"/>
                <w:sz w:val="20"/>
                <w:szCs w:val="20"/>
                <w:color w:val="auto"/>
              </w:rPr>
              <w:t>Name: Edgard Tordecilla</w:t>
            </w:r>
          </w:p>
        </w:tc>
        <w:tc>
          <w:tcPr>
            <w:tcW w:w="22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840" w:type="dxa"/>
            <w:vAlign w:val="bottom"/>
          </w:tcPr>
          <w:p>
            <w:pPr>
              <w:ind w:left="160"/>
              <w:spacing w:after="0"/>
              <w:rPr>
                <w:sz w:val="20"/>
                <w:szCs w:val="20"/>
                <w:color w:val="auto"/>
              </w:rPr>
            </w:pPr>
            <w:r>
              <w:rPr>
                <w:rFonts w:ascii="Arial" w:cs="Arial" w:eastAsia="Arial" w:hAnsi="Arial"/>
                <w:sz w:val="20"/>
                <w:szCs w:val="20"/>
                <w:color w:val="auto"/>
              </w:rPr>
              <w:t>Title: Director</w:t>
            </w:r>
          </w:p>
        </w:tc>
        <w:tc>
          <w:tcPr>
            <w:tcW w:w="220" w:type="dxa"/>
            <w:vAlign w:val="bottom"/>
          </w:tcPr>
          <w:p>
            <w:pPr>
              <w:spacing w:after="0"/>
              <w:rPr>
                <w:sz w:val="21"/>
                <w:szCs w:val="21"/>
                <w:color w:val="auto"/>
              </w:rPr>
            </w:pPr>
          </w:p>
        </w:tc>
      </w:tr>
      <w:tr>
        <w:trPr>
          <w:trHeight w:val="38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8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Martijn van Bemmel</w:t>
            </w:r>
          </w:p>
        </w:tc>
        <w:tc>
          <w:tcPr>
            <w:tcW w:w="220" w:type="dxa"/>
            <w:vAlign w:val="bottom"/>
            <w:tcBorders>
              <w:bottom w:val="single" w:sz="8" w:color="auto"/>
            </w:tcBorders>
          </w:tcPr>
          <w:p>
            <w:pPr>
              <w:spacing w:after="0"/>
              <w:rPr>
                <w:sz w:val="24"/>
                <w:szCs w:val="24"/>
                <w:color w:val="auto"/>
              </w:rPr>
            </w:pPr>
          </w:p>
        </w:tc>
      </w:tr>
      <w:tr>
        <w:trPr>
          <w:trHeight w:val="179"/>
        </w:trPr>
        <w:tc>
          <w:tcPr>
            <w:tcW w:w="500" w:type="dxa"/>
            <w:vAlign w:val="bottom"/>
          </w:tcPr>
          <w:p>
            <w:pPr>
              <w:spacing w:after="0"/>
              <w:rPr>
                <w:sz w:val="15"/>
                <w:szCs w:val="15"/>
                <w:color w:val="auto"/>
              </w:rPr>
            </w:pPr>
          </w:p>
        </w:tc>
        <w:tc>
          <w:tcPr>
            <w:tcW w:w="2840" w:type="dxa"/>
            <w:vAlign w:val="bottom"/>
          </w:tcPr>
          <w:p>
            <w:pPr>
              <w:ind w:left="160"/>
              <w:spacing w:after="0" w:line="179" w:lineRule="exact"/>
              <w:rPr>
                <w:sz w:val="20"/>
                <w:szCs w:val="20"/>
                <w:color w:val="auto"/>
              </w:rPr>
            </w:pPr>
            <w:r>
              <w:rPr>
                <w:rFonts w:ascii="Arial" w:cs="Arial" w:eastAsia="Arial" w:hAnsi="Arial"/>
                <w:sz w:val="20"/>
                <w:szCs w:val="20"/>
                <w:color w:val="auto"/>
              </w:rPr>
              <w:t>Name: Martijn van Bemmel</w:t>
            </w:r>
          </w:p>
        </w:tc>
        <w:tc>
          <w:tcPr>
            <w:tcW w:w="22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840" w:type="dxa"/>
            <w:vAlign w:val="bottom"/>
          </w:tcPr>
          <w:p>
            <w:pPr>
              <w:ind w:left="160"/>
              <w:spacing w:after="0"/>
              <w:rPr>
                <w:sz w:val="20"/>
                <w:szCs w:val="20"/>
                <w:color w:val="auto"/>
              </w:rPr>
            </w:pPr>
            <w:r>
              <w:rPr>
                <w:rFonts w:ascii="Arial" w:cs="Arial" w:eastAsia="Arial" w:hAnsi="Arial"/>
                <w:sz w:val="20"/>
                <w:szCs w:val="20"/>
                <w:color w:val="auto"/>
              </w:rPr>
              <w:t>Title: Director</w:t>
            </w:r>
          </w:p>
        </w:tc>
        <w:tc>
          <w:tcPr>
            <w:tcW w:w="2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4" w:right="1440" w:bottom="1440" w:gutter="0" w:footer="0" w:header="0"/>
        </w:sectPr>
      </w:pPr>
    </w:p>
    <w:bookmarkStart w:id="241" w:name="page242"/>
    <w:bookmarkEnd w:id="241"/>
    <w:p>
      <w:pPr>
        <w:spacing w:after="0"/>
        <w:rPr>
          <w:sz w:val="20"/>
          <w:szCs w:val="20"/>
          <w:color w:val="auto"/>
        </w:rPr>
      </w:pPr>
      <w:r>
        <w:rPr>
          <w:rFonts w:ascii="Arial" w:cs="Arial" w:eastAsia="Arial" w:hAnsi="Arial"/>
          <w:sz w:val="20"/>
          <w:szCs w:val="20"/>
          <w:b w:val="1"/>
          <w:bCs w:val="1"/>
          <w:color w:val="auto"/>
        </w:rPr>
        <w:t>FLUENCE ENERGY SINGAPORE PTE. LTD.</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Achal Sondhi</w:t>
            </w:r>
          </w:p>
        </w:tc>
        <w:tc>
          <w:tcPr>
            <w:tcW w:w="260" w:type="dxa"/>
            <w:vAlign w:val="bottom"/>
          </w:tcPr>
          <w:p>
            <w:pPr>
              <w:spacing w:after="0"/>
              <w:rPr>
                <w:sz w:val="19"/>
                <w:szCs w:val="19"/>
                <w:color w:val="auto"/>
              </w:rPr>
            </w:pPr>
          </w:p>
        </w:tc>
      </w:tr>
      <w:tr>
        <w:trPr>
          <w:trHeight w:val="179"/>
        </w:trPr>
        <w:tc>
          <w:tcPr>
            <w:tcW w:w="500" w:type="dxa"/>
            <w:vAlign w:val="bottom"/>
          </w:tcPr>
          <w:p>
            <w:pPr>
              <w:spacing w:after="0"/>
              <w:rPr>
                <w:sz w:val="15"/>
                <w:szCs w:val="15"/>
                <w:color w:val="auto"/>
              </w:rPr>
            </w:pPr>
          </w:p>
        </w:tc>
        <w:tc>
          <w:tcPr>
            <w:tcW w:w="2480" w:type="dxa"/>
            <w:vAlign w:val="bottom"/>
          </w:tcPr>
          <w:p>
            <w:pPr>
              <w:ind w:left="160"/>
              <w:spacing w:after="0" w:line="179" w:lineRule="exact"/>
              <w:rPr>
                <w:sz w:val="20"/>
                <w:szCs w:val="20"/>
                <w:color w:val="auto"/>
              </w:rPr>
            </w:pPr>
            <w:r>
              <w:rPr>
                <w:rFonts w:ascii="Arial" w:cs="Arial" w:eastAsia="Arial" w:hAnsi="Arial"/>
                <w:sz w:val="20"/>
                <w:szCs w:val="20"/>
                <w:color w:val="auto"/>
              </w:rPr>
              <w:t>Name: Achal Sondhi</w:t>
            </w:r>
          </w:p>
        </w:tc>
        <w:tc>
          <w:tcPr>
            <w:tcW w:w="26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480" w:type="dxa"/>
            <w:vAlign w:val="bottom"/>
          </w:tcPr>
          <w:p>
            <w:pPr>
              <w:ind w:left="160"/>
              <w:spacing w:after="0"/>
              <w:rPr>
                <w:sz w:val="20"/>
                <w:szCs w:val="20"/>
                <w:color w:val="auto"/>
              </w:rPr>
            </w:pPr>
            <w:r>
              <w:rPr>
                <w:rFonts w:ascii="Arial" w:cs="Arial" w:eastAsia="Arial" w:hAnsi="Arial"/>
                <w:sz w:val="20"/>
                <w:szCs w:val="20"/>
                <w:color w:val="auto"/>
              </w:rPr>
              <w:t>Title: Director</w:t>
            </w:r>
          </w:p>
        </w:tc>
        <w:tc>
          <w:tcPr>
            <w:tcW w:w="260" w:type="dxa"/>
            <w:vAlign w:val="bottom"/>
          </w:tcPr>
          <w:p>
            <w:pPr>
              <w:spacing w:after="0"/>
              <w:rPr>
                <w:sz w:val="21"/>
                <w:szCs w:val="21"/>
                <w:color w:val="auto"/>
              </w:rPr>
            </w:pPr>
          </w:p>
        </w:tc>
      </w:tr>
      <w:tr>
        <w:trPr>
          <w:trHeight w:val="38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David Mikaeloff</w:t>
            </w:r>
          </w:p>
        </w:tc>
        <w:tc>
          <w:tcPr>
            <w:tcW w:w="260" w:type="dxa"/>
            <w:vAlign w:val="bottom"/>
            <w:tcBorders>
              <w:bottom w:val="single" w:sz="8" w:color="auto"/>
            </w:tcBorders>
          </w:tcPr>
          <w:p>
            <w:pPr>
              <w:spacing w:after="0"/>
              <w:rPr>
                <w:sz w:val="24"/>
                <w:szCs w:val="24"/>
                <w:color w:val="auto"/>
              </w:rPr>
            </w:pPr>
          </w:p>
        </w:tc>
      </w:tr>
      <w:tr>
        <w:trPr>
          <w:trHeight w:val="179"/>
        </w:trPr>
        <w:tc>
          <w:tcPr>
            <w:tcW w:w="500" w:type="dxa"/>
            <w:vAlign w:val="bottom"/>
          </w:tcPr>
          <w:p>
            <w:pPr>
              <w:spacing w:after="0"/>
              <w:rPr>
                <w:sz w:val="15"/>
                <w:szCs w:val="15"/>
                <w:color w:val="auto"/>
              </w:rPr>
            </w:pPr>
          </w:p>
        </w:tc>
        <w:tc>
          <w:tcPr>
            <w:tcW w:w="2480" w:type="dxa"/>
            <w:vAlign w:val="bottom"/>
          </w:tcPr>
          <w:p>
            <w:pPr>
              <w:ind w:left="160"/>
              <w:spacing w:after="0" w:line="179" w:lineRule="exact"/>
              <w:rPr>
                <w:sz w:val="20"/>
                <w:szCs w:val="20"/>
                <w:color w:val="auto"/>
              </w:rPr>
            </w:pPr>
            <w:r>
              <w:rPr>
                <w:rFonts w:ascii="Arial" w:cs="Arial" w:eastAsia="Arial" w:hAnsi="Arial"/>
                <w:sz w:val="20"/>
                <w:szCs w:val="20"/>
                <w:color w:val="auto"/>
              </w:rPr>
              <w:t>Name: David Mikaeloff</w:t>
            </w:r>
          </w:p>
        </w:tc>
        <w:tc>
          <w:tcPr>
            <w:tcW w:w="26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480" w:type="dxa"/>
            <w:vAlign w:val="bottom"/>
          </w:tcPr>
          <w:p>
            <w:pPr>
              <w:ind w:left="160"/>
              <w:spacing w:after="0"/>
              <w:rPr>
                <w:sz w:val="20"/>
                <w:szCs w:val="20"/>
                <w:color w:val="auto"/>
              </w:rPr>
            </w:pPr>
            <w:r>
              <w:rPr>
                <w:rFonts w:ascii="Arial" w:cs="Arial" w:eastAsia="Arial" w:hAnsi="Arial"/>
                <w:sz w:val="20"/>
                <w:szCs w:val="20"/>
                <w:color w:val="auto"/>
              </w:rPr>
              <w:t>Title: Director</w:t>
            </w:r>
          </w:p>
        </w:tc>
        <w:tc>
          <w:tcPr>
            <w:tcW w:w="2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4" w:right="1440" w:bottom="1440" w:gutter="0" w:footer="0" w:header="0"/>
        </w:sectPr>
      </w:pPr>
    </w:p>
    <w:bookmarkStart w:id="242" w:name="page243"/>
    <w:bookmarkEnd w:id="242"/>
    <w:p>
      <w:pPr>
        <w:ind w:right="1340"/>
        <w:spacing w:after="0" w:line="239" w:lineRule="auto"/>
        <w:rPr>
          <w:sz w:val="20"/>
          <w:szCs w:val="20"/>
          <w:color w:val="auto"/>
        </w:rPr>
      </w:pPr>
      <w:r>
        <w:rPr>
          <w:rFonts w:ascii="Arial" w:cs="Arial" w:eastAsia="Arial" w:hAnsi="Arial"/>
          <w:sz w:val="20"/>
          <w:szCs w:val="20"/>
          <w:b w:val="1"/>
          <w:bCs w:val="1"/>
          <w:color w:val="auto"/>
        </w:rPr>
        <w:t xml:space="preserve">FLUENCE ENERGY AG </w:t>
      </w:r>
      <w:r>
        <w:rPr>
          <w:rFonts w:ascii="Arial" w:cs="Arial" w:eastAsia="Arial" w:hAnsi="Arial"/>
          <w:sz w:val="20"/>
          <w:szCs w:val="20"/>
          <w:color w:val="auto"/>
        </w:rPr>
        <w:t>as a Loan Party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Gianmarco Pizza</w:t>
            </w:r>
          </w:p>
        </w:tc>
        <w:tc>
          <w:tcPr>
            <w:tcW w:w="100" w:type="dxa"/>
            <w:vAlign w:val="bottom"/>
          </w:tcPr>
          <w:p>
            <w:pPr>
              <w:spacing w:after="0"/>
              <w:rPr>
                <w:sz w:val="19"/>
                <w:szCs w:val="19"/>
                <w:color w:val="auto"/>
              </w:rPr>
            </w:pPr>
          </w:p>
        </w:tc>
      </w:tr>
      <w:tr>
        <w:trPr>
          <w:trHeight w:val="179"/>
        </w:trPr>
        <w:tc>
          <w:tcPr>
            <w:tcW w:w="500" w:type="dxa"/>
            <w:vAlign w:val="bottom"/>
          </w:tcPr>
          <w:p>
            <w:pPr>
              <w:spacing w:after="0"/>
              <w:rPr>
                <w:sz w:val="15"/>
                <w:szCs w:val="15"/>
                <w:color w:val="auto"/>
              </w:rPr>
            </w:pPr>
          </w:p>
        </w:tc>
        <w:tc>
          <w:tcPr>
            <w:tcW w:w="2780" w:type="dxa"/>
            <w:vAlign w:val="bottom"/>
          </w:tcPr>
          <w:p>
            <w:pPr>
              <w:ind w:left="160"/>
              <w:spacing w:after="0" w:line="179" w:lineRule="exact"/>
              <w:rPr>
                <w:sz w:val="20"/>
                <w:szCs w:val="20"/>
                <w:color w:val="auto"/>
              </w:rPr>
            </w:pPr>
            <w:r>
              <w:rPr>
                <w:rFonts w:ascii="Arial" w:cs="Arial" w:eastAsia="Arial" w:hAnsi="Arial"/>
                <w:sz w:val="20"/>
                <w:szCs w:val="20"/>
                <w:color w:val="auto"/>
              </w:rPr>
              <w:t>Name: Gianmarco Pizza</w:t>
            </w:r>
          </w:p>
        </w:tc>
        <w:tc>
          <w:tcPr>
            <w:tcW w:w="10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780" w:type="dxa"/>
            <w:vAlign w:val="bottom"/>
          </w:tcPr>
          <w:p>
            <w:pPr>
              <w:ind w:left="160"/>
              <w:spacing w:after="0"/>
              <w:rPr>
                <w:sz w:val="20"/>
                <w:szCs w:val="20"/>
                <w:color w:val="auto"/>
              </w:rPr>
            </w:pPr>
            <w:r>
              <w:rPr>
                <w:rFonts w:ascii="Arial" w:cs="Arial" w:eastAsia="Arial" w:hAnsi="Arial"/>
                <w:sz w:val="20"/>
                <w:szCs w:val="20"/>
                <w:color w:val="auto"/>
              </w:rPr>
              <w:t>Title: President of the Board</w:t>
            </w:r>
          </w:p>
        </w:tc>
        <w:tc>
          <w:tcPr>
            <w:tcW w:w="100" w:type="dxa"/>
            <w:vAlign w:val="bottom"/>
          </w:tcPr>
          <w:p>
            <w:pPr>
              <w:spacing w:after="0"/>
              <w:rPr>
                <w:sz w:val="21"/>
                <w:szCs w:val="21"/>
                <w:color w:val="auto"/>
              </w:rPr>
            </w:pPr>
          </w:p>
        </w:tc>
      </w:tr>
      <w:tr>
        <w:trPr>
          <w:trHeight w:val="6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Jaakko Manninen</w:t>
            </w:r>
          </w:p>
        </w:tc>
        <w:tc>
          <w:tcPr>
            <w:tcW w:w="100" w:type="dxa"/>
            <w:vAlign w:val="bottom"/>
            <w:tcBorders>
              <w:bottom w:val="single" w:sz="8" w:color="auto"/>
            </w:tcBorders>
          </w:tcPr>
          <w:p>
            <w:pPr>
              <w:spacing w:after="0"/>
              <w:rPr>
                <w:sz w:val="24"/>
                <w:szCs w:val="24"/>
                <w:color w:val="auto"/>
              </w:rPr>
            </w:pPr>
          </w:p>
        </w:tc>
      </w:tr>
      <w:tr>
        <w:trPr>
          <w:trHeight w:val="179"/>
        </w:trPr>
        <w:tc>
          <w:tcPr>
            <w:tcW w:w="500" w:type="dxa"/>
            <w:vAlign w:val="bottom"/>
          </w:tcPr>
          <w:p>
            <w:pPr>
              <w:spacing w:after="0"/>
              <w:rPr>
                <w:sz w:val="15"/>
                <w:szCs w:val="15"/>
                <w:color w:val="auto"/>
              </w:rPr>
            </w:pPr>
          </w:p>
        </w:tc>
        <w:tc>
          <w:tcPr>
            <w:tcW w:w="2780" w:type="dxa"/>
            <w:vAlign w:val="bottom"/>
          </w:tcPr>
          <w:p>
            <w:pPr>
              <w:ind w:left="160"/>
              <w:spacing w:after="0" w:line="179" w:lineRule="exact"/>
              <w:rPr>
                <w:sz w:val="20"/>
                <w:szCs w:val="20"/>
                <w:color w:val="auto"/>
              </w:rPr>
            </w:pPr>
            <w:r>
              <w:rPr>
                <w:rFonts w:ascii="Arial" w:cs="Arial" w:eastAsia="Arial" w:hAnsi="Arial"/>
                <w:sz w:val="20"/>
                <w:szCs w:val="20"/>
                <w:color w:val="auto"/>
              </w:rPr>
              <w:t>Name: Manninen, Jaakko</w:t>
            </w:r>
          </w:p>
        </w:tc>
        <w:tc>
          <w:tcPr>
            <w:tcW w:w="10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780" w:type="dxa"/>
            <w:vAlign w:val="bottom"/>
          </w:tcPr>
          <w:p>
            <w:pPr>
              <w:ind w:left="160"/>
              <w:spacing w:after="0"/>
              <w:rPr>
                <w:sz w:val="20"/>
                <w:szCs w:val="20"/>
                <w:color w:val="auto"/>
              </w:rPr>
            </w:pPr>
            <w:r>
              <w:rPr>
                <w:rFonts w:ascii="Arial" w:cs="Arial" w:eastAsia="Arial" w:hAnsi="Arial"/>
                <w:sz w:val="20"/>
                <w:szCs w:val="20"/>
                <w:color w:val="auto"/>
              </w:rPr>
              <w:t>Title: Member of the Board</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WEIL:\99211866\6\64101.0067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Amendment No. 3]</w:t>
      </w:r>
    </w:p>
    <w:p>
      <w:pPr>
        <w:sectPr>
          <w:pgSz w:w="11900" w:h="16838" w:orient="portrait"/>
          <w:cols w:equalWidth="0" w:num="2">
            <w:col w:w="3520" w:space="720"/>
            <w:col w:w="5899"/>
          </w:cols>
          <w:pgMar w:left="320" w:top="1399" w:right="1440" w:bottom="1440" w:gutter="0" w:footer="0" w:header="0"/>
        </w:sectPr>
      </w:pPr>
    </w:p>
    <w:bookmarkStart w:id="243" w:name="page244"/>
    <w:bookmarkEnd w:id="243"/>
    <w:p>
      <w:pPr>
        <w:spacing w:after="0"/>
        <w:rPr>
          <w:sz w:val="20"/>
          <w:szCs w:val="20"/>
          <w:color w:val="auto"/>
        </w:rPr>
      </w:pPr>
      <w:r>
        <w:rPr>
          <w:rFonts w:ascii="Arial" w:cs="Arial" w:eastAsia="Arial" w:hAnsi="Arial"/>
          <w:sz w:val="20"/>
          <w:szCs w:val="20"/>
          <w:b w:val="1"/>
          <w:bCs w:val="1"/>
          <w:color w:val="auto"/>
        </w:rPr>
        <w:t>FLUENCE ENERGY CANADA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9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Francis A. Fuselier</w:t>
            </w:r>
          </w:p>
        </w:tc>
      </w:tr>
      <w:tr>
        <w:trPr>
          <w:trHeight w:val="179"/>
        </w:trPr>
        <w:tc>
          <w:tcPr>
            <w:tcW w:w="500" w:type="dxa"/>
            <w:vAlign w:val="bottom"/>
          </w:tcPr>
          <w:p>
            <w:pPr>
              <w:spacing w:after="0"/>
              <w:rPr>
                <w:sz w:val="15"/>
                <w:szCs w:val="15"/>
                <w:color w:val="auto"/>
              </w:rPr>
            </w:pPr>
          </w:p>
        </w:tc>
        <w:tc>
          <w:tcPr>
            <w:tcW w:w="2920" w:type="dxa"/>
            <w:vAlign w:val="bottom"/>
          </w:tcPr>
          <w:p>
            <w:pPr>
              <w:ind w:left="160"/>
              <w:spacing w:after="0" w:line="179" w:lineRule="exact"/>
              <w:rPr>
                <w:sz w:val="20"/>
                <w:szCs w:val="20"/>
                <w:color w:val="auto"/>
              </w:rPr>
            </w:pPr>
            <w:r>
              <w:rPr>
                <w:rFonts w:ascii="Arial" w:cs="Arial" w:eastAsia="Arial" w:hAnsi="Arial"/>
                <w:sz w:val="20"/>
                <w:szCs w:val="20"/>
                <w:color w:val="auto"/>
              </w:rPr>
              <w:t>Name: Francis A. Fuselier</w:t>
            </w:r>
          </w:p>
        </w:tc>
      </w:tr>
      <w:tr>
        <w:trPr>
          <w:trHeight w:val="250"/>
        </w:trPr>
        <w:tc>
          <w:tcPr>
            <w:tcW w:w="50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Arial" w:cs="Arial" w:eastAsia="Arial" w:hAnsi="Arial"/>
                <w:sz w:val="20"/>
                <w:szCs w:val="20"/>
                <w:color w:val="auto"/>
              </w:rPr>
              <w:t>Title: Director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pacing w:after="0"/>
        <w:rPr>
          <w:sz w:val="20"/>
          <w:szCs w:val="20"/>
          <w:color w:val="auto"/>
        </w:rPr>
      </w:pPr>
      <w:r>
        <w:rPr>
          <w:rFonts w:ascii="Arial" w:cs="Arial" w:eastAsia="Arial" w:hAnsi="Arial"/>
          <w:sz w:val="13"/>
          <w:szCs w:val="13"/>
          <w:color w:val="auto"/>
        </w:rPr>
        <w:t>WEIL:\99211866\6\64101.0067</w:t>
      </w:r>
    </w:p>
    <w:p>
      <w:pPr>
        <w:sectPr>
          <w:pgSz w:w="11900" w:h="16838" w:orient="portrait"/>
          <w:cols w:equalWidth="0" w:num="1">
            <w:col w:w="10139"/>
          </w:cols>
          <w:pgMar w:left="320" w:top="1394" w:right="1440" w:bottom="1440" w:gutter="0" w:footer="0" w:header="0"/>
        </w:sectPr>
      </w:pPr>
    </w:p>
    <w:bookmarkStart w:id="244" w:name="page245"/>
    <w:bookmarkEnd w:id="244"/>
    <w:p>
      <w:pPr>
        <w:spacing w:after="0"/>
        <w:tabs>
          <w:tab w:leader="none" w:pos="262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JPMORGAN CHASE BANK, N.A.</w:t>
      </w:r>
      <w:r>
        <w:rPr>
          <w:rFonts w:ascii="Arial" w:cs="Arial" w:eastAsia="Arial" w:hAnsi="Arial"/>
          <w:sz w:val="19"/>
          <w:szCs w:val="19"/>
          <w:color w:val="auto"/>
        </w:rPr>
        <w:t>,</w:t>
      </w:r>
    </w:p>
    <w:p>
      <w:pPr>
        <w:spacing w:after="0" w:line="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Administrative Agent</w:t>
      </w:r>
    </w:p>
    <w:p>
      <w:pPr>
        <w:spacing w:after="0" w:line="256"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-7620</wp:posOffset>
            </wp:positionV>
            <wp:extent cx="16262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ind w:left="3240"/>
        <w:spacing w:after="0" w:line="211" w:lineRule="auto"/>
        <w:rPr>
          <w:sz w:val="20"/>
          <w:szCs w:val="20"/>
          <w:color w:val="auto"/>
        </w:rPr>
      </w:pPr>
      <w:r>
        <w:rPr>
          <w:rFonts w:ascii="Arial" w:cs="Arial" w:eastAsia="Arial" w:hAnsi="Arial"/>
          <w:sz w:val="20"/>
          <w:szCs w:val="20"/>
          <w:color w:val="auto"/>
        </w:rPr>
        <w:t>Name: Santiago Gascon</w:t>
      </w:r>
    </w:p>
    <w:p>
      <w:pPr>
        <w:ind w:left="32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88" w:right="1440" w:bottom="1440" w:gutter="0" w:footer="0" w:header="0"/>
        </w:sectPr>
      </w:pPr>
    </w:p>
    <w:bookmarkStart w:id="245" w:name="page246"/>
    <w:bookmarkEnd w:id="245"/>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BARCLAYS BANK PLC</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Sydney G. Dennis</w:t>
      </w:r>
    </w:p>
    <w:p>
      <w:pPr>
        <w:ind w:left="3240"/>
        <w:spacing w:after="0" w:line="211" w:lineRule="auto"/>
        <w:rPr>
          <w:sz w:val="20"/>
          <w:szCs w:val="20"/>
          <w:color w:val="auto"/>
        </w:rPr>
      </w:pPr>
      <w:r>
        <w:rPr>
          <w:rFonts w:ascii="Arial" w:cs="Arial" w:eastAsia="Arial" w:hAnsi="Arial"/>
          <w:sz w:val="20"/>
          <w:szCs w:val="20"/>
          <w:color w:val="auto"/>
        </w:rPr>
        <w:t>Name: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6960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46" w:name="page247"/>
    <w:bookmarkEnd w:id="246"/>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Bank of America, N.A.</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Christopher J. Heitker</w:t>
      </w:r>
    </w:p>
    <w:p>
      <w:pPr>
        <w:ind w:left="3240"/>
        <w:spacing w:after="0" w:line="211" w:lineRule="auto"/>
        <w:rPr>
          <w:sz w:val="20"/>
          <w:szCs w:val="20"/>
          <w:color w:val="auto"/>
        </w:rPr>
      </w:pPr>
      <w:r>
        <w:rPr>
          <w:rFonts w:ascii="Arial" w:cs="Arial" w:eastAsia="Arial" w:hAnsi="Arial"/>
          <w:sz w:val="20"/>
          <w:szCs w:val="20"/>
          <w:color w:val="auto"/>
        </w:rPr>
        <w:t>Name: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671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47" w:name="page248"/>
    <w:bookmarkEnd w:id="247"/>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color w:val="auto"/>
        </w:rPr>
        <w:t>CITIGROUP NORTH AMERICA, INC.,</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Ashwani Khubani</w:t>
      </w:r>
    </w:p>
    <w:p>
      <w:pPr>
        <w:ind w:left="3240"/>
        <w:spacing w:after="0" w:line="211" w:lineRule="auto"/>
        <w:rPr>
          <w:sz w:val="20"/>
          <w:szCs w:val="20"/>
          <w:color w:val="auto"/>
        </w:rPr>
      </w:pPr>
      <w:r>
        <w:rPr>
          <w:rFonts w:ascii="Arial" w:cs="Arial" w:eastAsia="Arial" w:hAnsi="Arial"/>
          <w:sz w:val="20"/>
          <w:szCs w:val="20"/>
          <w:color w:val="auto"/>
        </w:rPr>
        <w:t>Name: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682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682115" cy="8255"/>
                    </a:xfrm>
                    <a:prstGeom prst="rect">
                      <a:avLst/>
                    </a:prstGeom>
                    <a:noFill/>
                  </pic:spPr>
                </pic:pic>
              </a:graphicData>
            </a:graphic>
          </wp:anchor>
        </w:drawing>
      </w:r>
    </w:p>
    <w:p>
      <w:pPr>
        <w:jc w:val="center"/>
        <w:ind w:right="-180"/>
        <w:spacing w:after="0"/>
        <w:rPr>
          <w:sz w:val="20"/>
          <w:szCs w:val="20"/>
          <w:color w:val="auto"/>
        </w:rPr>
      </w:pPr>
      <w:r>
        <w:rPr>
          <w:rFonts w:ascii="Arial" w:cs="Arial" w:eastAsia="Arial" w:hAnsi="Arial"/>
          <w:sz w:val="18"/>
          <w:szCs w:val="18"/>
          <w:color w:val="auto"/>
        </w:rPr>
        <w:t>Title: Managing Director /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[Signature Page to Amendment No. 3]</w:t>
      </w:r>
    </w:p>
    <w:p>
      <w:pPr>
        <w:sectPr>
          <w:pgSz w:w="11900" w:h="16838" w:orient="portrait"/>
          <w:cols w:equalWidth="0" w:num="1">
            <w:col w:w="10139"/>
          </w:cols>
          <w:pgMar w:left="320" w:top="1399" w:right="1440" w:bottom="1440" w:gutter="0" w:footer="0" w:header="0"/>
        </w:sectPr>
      </w:pPr>
    </w:p>
    <w:bookmarkStart w:id="248" w:name="page249"/>
    <w:bookmarkEnd w:id="248"/>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CREDIT SUISSE AG, CAYMAN ISLANDS BRANCH</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Komal Shah</w:t>
      </w:r>
    </w:p>
    <w:p>
      <w:pPr>
        <w:ind w:left="3240"/>
        <w:spacing w:after="0" w:line="211" w:lineRule="auto"/>
        <w:rPr>
          <w:sz w:val="20"/>
          <w:szCs w:val="20"/>
          <w:color w:val="auto"/>
        </w:rPr>
      </w:pPr>
      <w:r>
        <w:rPr>
          <w:rFonts w:ascii="Arial" w:cs="Arial" w:eastAsia="Arial" w:hAnsi="Arial"/>
          <w:sz w:val="20"/>
          <w:szCs w:val="20"/>
          <w:color w:val="auto"/>
        </w:rPr>
        <w:t>Name: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4033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Authorized Signatory</w:t>
      </w:r>
    </w:p>
    <w:p>
      <w:pPr>
        <w:spacing w:after="0" w:line="175"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Heesu Sin</w:t>
      </w:r>
    </w:p>
    <w:p>
      <w:pPr>
        <w:ind w:left="3240"/>
        <w:spacing w:after="0" w:line="211" w:lineRule="auto"/>
        <w:rPr>
          <w:sz w:val="20"/>
          <w:szCs w:val="20"/>
          <w:color w:val="auto"/>
        </w:rPr>
      </w:pPr>
      <w:r>
        <w:rPr>
          <w:rFonts w:ascii="Arial" w:cs="Arial" w:eastAsia="Arial" w:hAnsi="Arial"/>
          <w:sz w:val="20"/>
          <w:szCs w:val="20"/>
          <w:color w:val="auto"/>
        </w:rPr>
        <w:t>Name: Heesu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29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49" w:name="page250"/>
    <w:bookmarkEnd w:id="249"/>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HSBC Bank USA, National Association</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Jessica Smith</w:t>
      </w:r>
    </w:p>
    <w:p>
      <w:pPr>
        <w:ind w:left="3240"/>
        <w:spacing w:after="0" w:line="211" w:lineRule="auto"/>
        <w:rPr>
          <w:sz w:val="20"/>
          <w:szCs w:val="20"/>
          <w:color w:val="auto"/>
        </w:rPr>
      </w:pPr>
      <w:r>
        <w:rPr>
          <w:rFonts w:ascii="Arial" w:cs="Arial" w:eastAsia="Arial" w:hAnsi="Arial"/>
          <w:sz w:val="20"/>
          <w:szCs w:val="20"/>
          <w:color w:val="auto"/>
        </w:rPr>
        <w:t>Name: Jessica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459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50" w:name="page251"/>
    <w:bookmarkEnd w:id="250"/>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JPMORGAN CHASE BANK, N.A.,</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Santiago Gascon</w:t>
      </w:r>
    </w:p>
    <w:p>
      <w:pPr>
        <w:ind w:left="3240"/>
        <w:spacing w:after="0" w:line="211" w:lineRule="auto"/>
        <w:rPr>
          <w:sz w:val="20"/>
          <w:szCs w:val="20"/>
          <w:color w:val="auto"/>
        </w:rPr>
      </w:pPr>
      <w:r>
        <w:rPr>
          <w:rFonts w:ascii="Arial" w:cs="Arial" w:eastAsia="Arial" w:hAnsi="Arial"/>
          <w:sz w:val="20"/>
          <w:szCs w:val="20"/>
          <w:color w:val="auto"/>
        </w:rPr>
        <w:t>Name: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6262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51" w:name="page252"/>
    <w:bookmarkEnd w:id="251"/>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MORGAN STANLEY SENIOR FUNDING, INC.</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Rikin Pandya</w:t>
      </w:r>
    </w:p>
    <w:p>
      <w:pPr>
        <w:ind w:left="3240"/>
        <w:spacing w:after="0" w:line="211" w:lineRule="auto"/>
        <w:rPr>
          <w:sz w:val="20"/>
          <w:szCs w:val="20"/>
          <w:color w:val="auto"/>
        </w:rPr>
      </w:pPr>
      <w:r>
        <w:rPr>
          <w:rFonts w:ascii="Arial" w:cs="Arial" w:eastAsia="Arial" w:hAnsi="Arial"/>
          <w:sz w:val="20"/>
          <w:szCs w:val="20"/>
          <w:color w:val="auto"/>
        </w:rPr>
        <w:t>Name: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33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52" w:name="page253"/>
    <w:bookmarkEnd w:id="252"/>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ROYAL BANK OF CANADA</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Martina Wellik</w:t>
      </w:r>
    </w:p>
    <w:p>
      <w:pPr>
        <w:ind w:left="3240"/>
        <w:spacing w:after="0" w:line="211" w:lineRule="auto"/>
        <w:rPr>
          <w:sz w:val="20"/>
          <w:szCs w:val="20"/>
          <w:color w:val="auto"/>
        </w:rPr>
      </w:pPr>
      <w:r>
        <w:rPr>
          <w:rFonts w:ascii="Arial" w:cs="Arial" w:eastAsia="Arial" w:hAnsi="Arial"/>
          <w:sz w:val="20"/>
          <w:szCs w:val="20"/>
          <w:color w:val="auto"/>
        </w:rPr>
        <w:t>Name: Martina Wellik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4116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53" w:name="page254"/>
    <w:bookmarkEnd w:id="253"/>
    <w:p>
      <w:pPr>
        <w:spacing w:after="0"/>
        <w:tabs>
          <w:tab w:leader="none" w:pos="102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8"/>
          <w:szCs w:val="18"/>
          <w:b w:val="1"/>
          <w:bCs w:val="1"/>
          <w:color w:val="auto"/>
        </w:rPr>
        <w:t>UBS AG, Stamford Branch</w:t>
      </w:r>
    </w:p>
    <w:p>
      <w:pPr>
        <w:spacing w:after="0" w:line="197"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Peter Hazoglou</w:t>
      </w:r>
    </w:p>
    <w:p>
      <w:pPr>
        <w:ind w:left="3240"/>
        <w:spacing w:after="0" w:line="211" w:lineRule="auto"/>
        <w:rPr>
          <w:sz w:val="20"/>
          <w:szCs w:val="20"/>
          <w:color w:val="auto"/>
        </w:rPr>
      </w:pPr>
      <w:r>
        <w:rPr>
          <w:rFonts w:ascii="Arial" w:cs="Arial" w:eastAsia="Arial" w:hAnsi="Arial"/>
          <w:sz w:val="20"/>
          <w:szCs w:val="20"/>
          <w:color w:val="auto"/>
        </w:rPr>
        <w:t>Name: Peter Hazoglou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430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Authorized Signatory</w:t>
      </w:r>
    </w:p>
    <w:p>
      <w:pPr>
        <w:spacing w:after="0" w:line="175"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Danielle Calo</w:t>
      </w:r>
    </w:p>
    <w:p>
      <w:pPr>
        <w:ind w:left="3240"/>
        <w:spacing w:after="0" w:line="211" w:lineRule="auto"/>
        <w:rPr>
          <w:sz w:val="20"/>
          <w:szCs w:val="20"/>
          <w:color w:val="auto"/>
        </w:rPr>
      </w:pPr>
      <w:r>
        <w:rPr>
          <w:rFonts w:ascii="Arial" w:cs="Arial" w:eastAsia="Arial" w:hAnsi="Arial"/>
          <w:sz w:val="20"/>
          <w:szCs w:val="20"/>
          <w:color w:val="auto"/>
        </w:rPr>
        <w:t>Name: Danielle Calo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-127000</wp:posOffset>
            </wp:positionV>
            <wp:extent cx="15043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10139"/>
          </w:cols>
          <w:pgMar w:left="320" w:top="1399" w:right="1440" w:bottom="1440" w:gutter="0" w:footer="0" w:header="0"/>
        </w:sectPr>
      </w:pPr>
    </w:p>
    <w:bookmarkStart w:id="254" w:name="page255"/>
    <w:bookmarkEnd w:id="25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Julian Nebreda, certify that:</w:t>
      </w:r>
    </w:p>
    <w:p>
      <w:pPr>
        <w:spacing w:after="0" w:line="144" w:lineRule="exact"/>
        <w:rPr>
          <w:sz w:val="20"/>
          <w:szCs w:val="20"/>
          <w:color w:val="auto"/>
        </w:rPr>
      </w:pPr>
    </w:p>
    <w:p>
      <w:pPr>
        <w:ind w:left="660" w:hanging="328"/>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right="320" w:firstLine="320"/>
        <w:spacing w:after="0" w:line="342" w:lineRule="auto"/>
        <w:tabs>
          <w:tab w:leader="none" w:pos="122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firstLine="320"/>
        <w:spacing w:after="0" w:line="308" w:lineRule="auto"/>
        <w:tabs>
          <w:tab w:leader="none" w:pos="1247"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660" w:firstLine="320"/>
        <w:spacing w:after="0" w:line="277" w:lineRule="auto"/>
        <w:tabs>
          <w:tab w:leader="none" w:pos="123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ectPr>
          <w:pgSz w:w="11900" w:h="16838" w:orient="portrait"/>
          <w:cols w:equalWidth="0" w:num="1">
            <w:col w:w="11240"/>
          </w:cols>
          <w:pgMar w:left="320" w:top="108"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22860</wp:posOffset>
            </wp:positionV>
            <wp:extent cx="33864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1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Julian Nebreda</w:t>
      </w:r>
    </w:p>
    <w:p>
      <w:pPr>
        <w:ind w:left="480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ectPr>
          <w:pgSz w:w="11900" w:h="16838" w:orient="portrait"/>
          <w:cols w:equalWidth="0" w:num="1">
            <w:col w:w="10120"/>
          </w:cols>
          <w:pgMar w:left="1440" w:top="108" w:right="339" w:bottom="1440" w:gutter="0" w:footer="0" w:header="0"/>
        </w:sectPr>
      </w:pPr>
    </w:p>
    <w:bookmarkStart w:id="256" w:name="page257"/>
    <w:bookmarkEnd w:id="25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Manavendra Sial, certify that:</w:t>
      </w:r>
    </w:p>
    <w:p>
      <w:pPr>
        <w:spacing w:after="0" w:line="144"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320" w:firstLine="320"/>
        <w:spacing w:after="0" w:line="342" w:lineRule="auto"/>
        <w:tabs>
          <w:tab w:leader="none" w:pos="1229"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firstLine="320"/>
        <w:spacing w:after="0" w:line="308" w:lineRule="auto"/>
        <w:tabs>
          <w:tab w:leader="none" w:pos="124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660" w:firstLine="320"/>
        <w:spacing w:after="0" w:line="277" w:lineRule="auto"/>
        <w:tabs>
          <w:tab w:leader="none" w:pos="123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ectPr>
          <w:pgSz w:w="11900" w:h="16838" w:orient="portrait"/>
          <w:cols w:equalWidth="0" w:num="1">
            <w:col w:w="11240"/>
          </w:cols>
          <w:pgMar w:left="320" w:top="108"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22860</wp:posOffset>
            </wp:positionV>
            <wp:extent cx="31375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Manavendra Sial</w:t>
      </w:r>
    </w:p>
    <w:p>
      <w:pPr>
        <w:ind w:left="5140"/>
        <w:spacing w:after="0" w:line="203"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5140"/>
        <w:spacing w:after="0"/>
        <w:rPr>
          <w:sz w:val="20"/>
          <w:szCs w:val="20"/>
          <w:color w:val="auto"/>
        </w:rPr>
      </w:pPr>
      <w:r>
        <w:rPr>
          <w:rFonts w:ascii="Arial" w:cs="Arial" w:eastAsia="Arial" w:hAnsi="Arial"/>
          <w:sz w:val="18"/>
          <w:szCs w:val="18"/>
          <w:i w:val="1"/>
          <w:iCs w:val="1"/>
          <w:color w:val="auto"/>
        </w:rPr>
        <w:t>Financial Officer)</w:t>
      </w:r>
    </w:p>
    <w:p>
      <w:pPr>
        <w:sectPr>
          <w:pgSz w:w="11900" w:h="16838" w:orient="portrait"/>
          <w:cols w:equalWidth="0" w:num="1">
            <w:col w:w="10120"/>
          </w:cols>
          <w:pgMar w:left="1440" w:top="108"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56" w:lineRule="exact"/>
        <w:rPr>
          <w:sz w:val="20"/>
          <w:szCs w:val="20"/>
          <w:color w:val="auto"/>
        </w:rPr>
      </w:pPr>
    </w:p>
    <w:p>
      <w:pPr>
        <w:jc w:val="both"/>
        <w:ind w:right="140" w:firstLine="324"/>
        <w:spacing w:after="0" w:line="221" w:lineRule="exact"/>
        <w:rPr>
          <w:sz w:val="20"/>
          <w:szCs w:val="20"/>
          <w:color w:val="auto"/>
        </w:rPr>
      </w:pPr>
      <w:r>
        <w:rPr>
          <w:rFonts w:ascii="Arial" w:cs="Arial" w:eastAsia="Arial" w:hAnsi="Arial"/>
          <w:sz w:val="16"/>
          <w:szCs w:val="16"/>
          <w:color w:val="auto"/>
        </w:rPr>
        <w:t>In connection with the Quarterly Report on Form 10-Q of Fluence Energy, Inc. (the “Company”) for the quarter ended June 30, 2023 as filed with the Securities and Exchange Commission on the date hereof (the “Report”), I, Julian Nebreda, Chief Executive Officer and President of the Company, certify, pursuant to 18 U.S.C. Section 1350, as adopted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 to the best of my knowledge:</w:t>
      </w:r>
    </w:p>
    <w:p>
      <w:pPr>
        <w:spacing w:after="0" w:line="136" w:lineRule="exact"/>
        <w:rPr>
          <w:sz w:val="20"/>
          <w:szCs w:val="20"/>
          <w:color w:val="auto"/>
        </w:rPr>
      </w:pPr>
    </w:p>
    <w:p>
      <w:pPr>
        <w:ind w:left="580" w:hanging="167"/>
        <w:spacing w:after="0"/>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23495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Julian Nebreda</w:t>
      </w:r>
    </w:p>
    <w:p>
      <w:pPr>
        <w:ind w:left="6240"/>
        <w:spacing w:after="0" w:line="203" w:lineRule="auto"/>
        <w:rPr>
          <w:sz w:val="20"/>
          <w:szCs w:val="20"/>
          <w:color w:val="auto"/>
        </w:rPr>
      </w:pPr>
      <w:r>
        <w:rPr>
          <w:rFonts w:ascii="Arial" w:cs="Arial" w:eastAsia="Arial" w:hAnsi="Arial"/>
          <w:sz w:val="18"/>
          <w:szCs w:val="18"/>
          <w:i w:val="1"/>
          <w:iCs w:val="1"/>
          <w:color w:val="auto"/>
        </w:rPr>
        <w:t>Chief Executive Officer and President (Principal</w:t>
      </w:r>
    </w:p>
    <w:p>
      <w:pPr>
        <w:ind w:left="6240"/>
        <w:spacing w:after="0"/>
        <w:rPr>
          <w:sz w:val="20"/>
          <w:szCs w:val="20"/>
          <w:color w:val="auto"/>
        </w:rPr>
      </w:pPr>
      <w:r>
        <w:rPr>
          <w:rFonts w:ascii="Arial" w:cs="Arial" w:eastAsia="Arial" w:hAnsi="Arial"/>
          <w:sz w:val="18"/>
          <w:szCs w:val="18"/>
          <w:i w:val="1"/>
          <w:iCs w:val="1"/>
          <w:color w:val="auto"/>
        </w:rPr>
        <w:t>Executive Officer)</w:t>
      </w:r>
    </w:p>
    <w:p>
      <w:pPr>
        <w:sectPr>
          <w:pgSz w:w="11900" w:h="16838" w:orient="portrait"/>
          <w:cols w:equalWidth="0" w:num="1">
            <w:col w:w="11240"/>
          </w:cols>
          <w:pgMar w:left="320" w:top="837"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56" w:lineRule="exact"/>
        <w:rPr>
          <w:sz w:val="20"/>
          <w:szCs w:val="20"/>
          <w:color w:val="auto"/>
        </w:rPr>
      </w:pPr>
    </w:p>
    <w:p>
      <w:pPr>
        <w:ind w:right="140" w:firstLine="324"/>
        <w:spacing w:after="0" w:line="220" w:lineRule="exact"/>
        <w:rPr>
          <w:sz w:val="20"/>
          <w:szCs w:val="20"/>
          <w:color w:val="auto"/>
        </w:rPr>
      </w:pPr>
      <w:r>
        <w:rPr>
          <w:rFonts w:ascii="Arial" w:cs="Arial" w:eastAsia="Arial" w:hAnsi="Arial"/>
          <w:sz w:val="18"/>
          <w:szCs w:val="18"/>
          <w:color w:val="auto"/>
        </w:rPr>
        <w:t>In connection with the Quarterly Report on Form 10-Q of Fluence Energy, Inc. (the “Company”) for the quarter ended June 30, 2023 as filed with the Securities and Exchange Commission on the date hereof (the “Report”), I, Manavendra Sial, Senior Vice President and Chief Financial Officer of the Company, certify,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the best of my knowledge:</w:t>
      </w:r>
    </w:p>
    <w:p>
      <w:pPr>
        <w:spacing w:after="0" w:line="136" w:lineRule="exact"/>
        <w:rPr>
          <w:sz w:val="20"/>
          <w:szCs w:val="20"/>
          <w:color w:val="auto"/>
        </w:rPr>
      </w:pPr>
    </w:p>
    <w:p>
      <w:pPr>
        <w:ind w:left="580" w:hanging="167"/>
        <w:spacing w:after="0"/>
        <w:tabs>
          <w:tab w:leader="none" w:pos="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2023</w:t>
      </w:r>
    </w:p>
    <w:p>
      <w:pPr>
        <w:spacing w:after="0" w:line="198"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032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4"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Manavendra Sial</w:t>
      </w:r>
    </w:p>
    <w:p>
      <w:pPr>
        <w:ind w:left="6260"/>
        <w:spacing w:after="0" w:line="203"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6260"/>
        <w:spacing w:after="0"/>
        <w:rPr>
          <w:sz w:val="20"/>
          <w:szCs w:val="20"/>
          <w:color w:val="auto"/>
        </w:rPr>
      </w:pPr>
      <w:r>
        <w:rPr>
          <w:rFonts w:ascii="Arial" w:cs="Arial" w:eastAsia="Arial" w:hAnsi="Arial"/>
          <w:sz w:val="18"/>
          <w:szCs w:val="18"/>
          <w:i w:val="1"/>
          <w:iCs w:val="1"/>
          <w:color w:val="auto"/>
        </w:rPr>
        <w:t>Financial Officer)</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x"/>
      <w:numFmt w:val="bullet"/>
      <w:start w:val="1"/>
    </w:lvl>
  </w:abstractNum>
  <w:abstractNum w:abstractNumId="1">
    <w:nsid w:val="5C10FE21"/>
    <w:multiLevelType w:val="hybridMultilevel"/>
    <w:lvl w:ilvl="0">
      <w:lvlJc w:val="left"/>
      <w:lvlText w:val="o"/>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1."/>
      <w:numFmt w:val="decimal"/>
      <w:start w:val="4"/>
    </w:lvl>
  </w:abstractNum>
  <w:abstractNum w:abstractNumId="5">
    <w:nsid w:val="78DF6A55"/>
    <w:multiLevelType w:val="hybridMultilevel"/>
    <w:lvl w:ilvl="0">
      <w:lvlJc w:val="left"/>
      <w:lvlText w:val="%1."/>
      <w:numFmt w:val="decimal"/>
      <w:start w:val="5"/>
    </w:lvl>
  </w:abstractNum>
  <w:abstractNum w:abstractNumId="6">
    <w:nsid w:val="39B7AAA2"/>
    <w:multiLevelType w:val="hybridMultilevel"/>
    <w:lvl w:ilvl="0">
      <w:lvlJc w:val="left"/>
      <w:lvlText w:val="(%1)"/>
      <w:numFmt w:val="lowerLetter"/>
      <w:start w:val="1"/>
    </w:lvl>
  </w:abstractNum>
  <w:abstractNum w:abstractNumId="7">
    <w:nsid w:val="2B0D8DBE"/>
    <w:multiLevelType w:val="hybridMultilevel"/>
    <w:lvl w:ilvl="0">
      <w:lvlJc w:val="left"/>
      <w:lvlText w:val="%1."/>
      <w:numFmt w:val="decimal"/>
      <w:start w:val="6"/>
    </w:lvl>
  </w:abstractNum>
  <w:abstractNum w:abstractNumId="8">
    <w:nsid w:val="6C80EC70"/>
    <w:multiLevelType w:val="hybridMultilevel"/>
    <w:lvl w:ilvl="0">
      <w:lvlJc w:val="left"/>
      <w:lvlText w:val="%1."/>
      <w:numFmt w:val="decimal"/>
      <w:start w:val="11"/>
    </w:lvl>
  </w:abstractNum>
  <w:abstractNum w:abstractNumId="9">
    <w:nsid w:val="379E21B5"/>
    <w:multiLevelType w:val="hybridMultilevel"/>
    <w:lvl w:ilvl="0">
      <w:lvlJc w:val="left"/>
      <w:lvlText w:val="(%1)"/>
      <w:numFmt w:val="lowerLetter"/>
      <w:start w:val="1"/>
    </w:lvl>
  </w:abstractNum>
  <w:abstractNum w:abstractNumId="10">
    <w:nsid w:val="69E373"/>
    <w:multiLevelType w:val="hybridMultilevel"/>
    <w:lvl w:ilvl="0">
      <w:lvlJc w:val="left"/>
      <w:lvlText w:val="(%1)"/>
      <w:numFmt w:val="lowerRoman"/>
      <w:start w:val="2"/>
    </w:lvl>
  </w:abstractNum>
  <w:abstractNum w:abstractNumId="11">
    <w:nsid w:val="2C27173B"/>
    <w:multiLevelType w:val="hybridMultilevel"/>
    <w:lvl w:ilvl="0">
      <w:lvlJc w:val="left"/>
      <w:lvlText w:val="(%1)"/>
      <w:numFmt w:val="lowerLetter"/>
      <w:start w:val="1"/>
    </w:lvl>
  </w:abstractNum>
  <w:abstractNum w:abstractNumId="12">
    <w:nsid w:val="4C9B0904"/>
    <w:multiLevelType w:val="hybridMultilevel"/>
    <w:lvl w:ilvl="0">
      <w:lvlJc w:val="left"/>
      <w:lvlText w:val="(%1)"/>
      <w:numFmt w:val="lowerLetter"/>
      <w:start w:val="1"/>
    </w:lvl>
  </w:abstractNum>
  <w:abstractNum w:abstractNumId="13">
    <w:nsid w:val="6AA7B75C"/>
    <w:multiLevelType w:val="hybridMultilevel"/>
    <w:lvl w:ilvl="0">
      <w:lvlJc w:val="left"/>
      <w:lvlText w:val="(%1)"/>
      <w:numFmt w:val="lowerLetter"/>
      <w:start w:val="2"/>
    </w:lvl>
  </w:abstractNum>
  <w:abstractNum w:abstractNumId="14">
    <w:nsid w:val="1DF029D3"/>
    <w:multiLevelType w:val="hybridMultilevel"/>
    <w:lvl w:ilvl="0">
      <w:lvlJc w:val="left"/>
      <w:lvlText w:val="*"/>
      <w:numFmt w:val="bullet"/>
      <w:start w:val="1"/>
    </w:lvl>
    <w:lvl w:ilvl="1">
      <w:lvlJc w:val="left"/>
      <w:lvlText w:val="%2"/>
      <w:numFmt w:val="decimal"/>
      <w:start w:val="104"/>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1."/>
      <w:numFmt w:val="decimal"/>
      <w:start w:val="1"/>
    </w:lvl>
    <w:lvl w:ilvl="1">
      <w:lvlJc w:val="left"/>
      <w:lvlText w:val="(%2)"/>
      <w:numFmt w:val="lowerLetter"/>
      <w:start w:val="1"/>
    </w:lvl>
  </w:abstractNum>
  <w:abstractNum w:abstractNumId="17">
    <w:nsid w:val="3DB012B3"/>
    <w:multiLevelType w:val="hybridMultilevel"/>
    <w:lvl w:ilvl="0">
      <w:lvlJc w:val="left"/>
      <w:lvlText w:val="%1"/>
      <w:numFmt w:val="decimal"/>
      <w:start w:val="1"/>
    </w:lvl>
    <w:lvl w:ilvl="1">
      <w:lvlJc w:val="left"/>
      <w:lvlText w:val="(%2)"/>
      <w:numFmt w:val="lowerLetter"/>
      <w:start w:val="3"/>
    </w:lvl>
  </w:abstractNum>
  <w:abstractNum w:abstractNumId="18">
    <w:nsid w:val="2708C9AF"/>
    <w:multiLevelType w:val="hybridMultilevel"/>
    <w:lvl w:ilvl="0">
      <w:lvlJc w:val="left"/>
      <w:lvlText w:val="%1."/>
      <w:numFmt w:val="decimal"/>
      <w:start w:val="4"/>
    </w:lvl>
    <w:lvl w:ilvl="1">
      <w:lvlJc w:val="left"/>
      <w:lvlText w:val="(%2)"/>
      <w:numFmt w:val="lowerLetter"/>
      <w:start w:val="1"/>
    </w:lvl>
  </w:abstractNum>
  <w:abstractNum w:abstractNumId="19">
    <w:nsid w:val="5B25ACE2"/>
    <w:multiLevelType w:val="hybridMultilevel"/>
    <w:lvl w:ilvl="0">
      <w:lvlJc w:val="left"/>
      <w:lvlText w:val="%1"/>
      <w:numFmt w:val="decimal"/>
      <w:start w:val="1"/>
    </w:lvl>
    <w:lvl w:ilvl="1">
      <w:lvlJc w:val="left"/>
      <w:lvlText w:val="(%2)"/>
      <w:numFmt w:val="lowerLetter"/>
      <w:start w:val="3"/>
    </w:lvl>
  </w:abstractNum>
  <w:abstractNum w:abstractNumId="20">
    <w:nsid w:val="175DFCF0"/>
    <w:multiLevelType w:val="hybridMultilevel"/>
    <w:lvl w:ilvl="0">
      <w:lvlJc w:val="left"/>
      <w:lvlText w:val="%1."/>
      <w:numFmt w:val="decimal"/>
      <w:start w:val="6"/>
    </w:lvl>
    <w:lvl w:ilvl="1">
      <w:lvlJc w:val="left"/>
      <w:lvlText w:val="(%2)"/>
      <w:numFmt w:val="lowerLetter"/>
      <w:start w:val="1"/>
    </w:lvl>
  </w:abstractNum>
  <w:abstractNum w:abstractNumId="21">
    <w:nsid w:val="4F97E3E4"/>
    <w:multiLevelType w:val="hybridMultilevel"/>
    <w:lvl w:ilvl="0">
      <w:lvlJc w:val="left"/>
      <w:lvlText w:val="(%1)"/>
      <w:numFmt w:val="lowerLetter"/>
      <w:start w:val="3"/>
    </w:lvl>
  </w:abstractNum>
  <w:abstractNum w:abstractNumId="22">
    <w:nsid w:val="53B0A9E"/>
    <w:multiLevelType w:val="hybridMultilevel"/>
    <w:lvl w:ilvl="0">
      <w:lvlJc w:val="left"/>
      <w:lvlText w:val="%1"/>
      <w:numFmt w:val="decimal"/>
      <w:start w:val="1"/>
    </w:lvl>
    <w:lvl w:ilvl="1">
      <w:lvlJc w:val="left"/>
      <w:lvlText w:val="(%2)"/>
      <w:numFmt w:val="decimal"/>
      <w:start w:val="1"/>
    </w:lvl>
  </w:abstractNum>
  <w:abstractNum w:abstractNumId="23">
    <w:nsid w:val="34FD6B4F"/>
    <w:multiLevelType w:val="hybridMultilevel"/>
    <w:lvl w:ilvl="0">
      <w:lvlJc w:val="left"/>
      <w:lvlText w:val="%1)"/>
      <w:numFmt w:val="decimal"/>
      <w:start w:val="417"/>
    </w:lvl>
    <w:lvl w:ilvl="1">
      <w:lvlJc w:val="left"/>
      <w:lvlText w:val="%2"/>
      <w:numFmt w:val="decimal"/>
      <w:start w:val="1"/>
    </w:lvl>
  </w:abstractNum>
  <w:abstractNum w:abstractNumId="24">
    <w:nsid w:val="5915FF32"/>
    <w:multiLevelType w:val="hybridMultilevel"/>
    <w:lvl w:ilvl="0">
      <w:lvlJc w:val="left"/>
      <w:lvlText w:val="(%1)"/>
      <w:numFmt w:val="decimal"/>
      <w:start w:val="2"/>
    </w:lvl>
    <w:lvl w:ilvl="1">
      <w:lvlJc w:val="left"/>
      <w:lvlText w:val="(%2)"/>
      <w:numFmt w:val="upperLetter"/>
      <w:start w:val="1"/>
    </w:lvl>
  </w:abstractNum>
  <w:abstractNum w:abstractNumId="25">
    <w:nsid w:val="56438D15"/>
    <w:multiLevelType w:val="hybridMultilevel"/>
    <w:lvl w:ilvl="0">
      <w:lvlJc w:val="left"/>
      <w:lvlText w:val="(%1)"/>
      <w:numFmt w:val="decimal"/>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1"/>
      <w:numFmt w:val="decimal"/>
      <w:start w:val="1"/>
    </w:lvl>
    <w:lvl w:ilvl="1">
      <w:lvlJc w:val="left"/>
      <w:lvlText w:val="(%2)"/>
      <w:numFmt w:val="lowerLetter"/>
      <w:start w:val="1"/>
    </w:lvl>
  </w:abstractNum>
  <w:abstractNum w:abstractNumId="28">
    <w:nsid w:val="17A1B582"/>
    <w:multiLevelType w:val="hybridMultilevel"/>
    <w:lvl w:ilvl="0">
      <w:lvlJc w:val="left"/>
      <w:lvlText w:val="(%1)"/>
      <w:numFmt w:val="decimal"/>
      <w:start w:val="2"/>
    </w:lvl>
    <w:lvl w:ilvl="1">
      <w:lvlJc w:val="left"/>
      <w:lvlText w:val="%2"/>
      <w:numFmt w:val="lowerLetter"/>
      <w:start w:val="1"/>
    </w:lvl>
  </w:abstractNum>
  <w:abstractNum w:abstractNumId="29">
    <w:nsid w:val="4DF72E4E"/>
    <w:multiLevelType w:val="hybridMultilevel"/>
    <w:lvl w:ilvl="0">
      <w:lvlJc w:val="left"/>
      <w:lvlText w:val="(%1)"/>
      <w:numFmt w:val="decimal"/>
      <w:start w:val="1"/>
    </w:lvl>
  </w:abstractNum>
  <w:abstractNum w:abstractNumId="30">
    <w:nsid w:val="5046B5A9"/>
    <w:multiLevelType w:val="hybridMultilevel"/>
    <w:lvl w:ilvl="0">
      <w:lvlJc w:val="left"/>
      <w:lvlText w:val="(%1)"/>
      <w:numFmt w:val="decimal"/>
      <w:start w:val="1"/>
    </w:lvl>
  </w:abstractNum>
  <w:abstractNum w:abstractNumId="31">
    <w:nsid w:val="5D888A08"/>
    <w:multiLevelType w:val="hybridMultilevel"/>
    <w:lvl w:ilvl="0">
      <w:lvlJc w:val="left"/>
      <w:lvlText w:val="(%1)"/>
      <w:numFmt w:val="decimal"/>
      <w:start w:val="2"/>
    </w:lvl>
  </w:abstractNum>
  <w:abstractNum w:abstractNumId="32">
    <w:nsid w:val="2A082C70"/>
    <w:multiLevelType w:val="hybridMultilevel"/>
    <w:lvl w:ilvl="0">
      <w:lvlJc w:val="left"/>
      <w:lvlText w:val="(%1)"/>
      <w:numFmt w:val="lowerLetter"/>
      <w:start w:val="1"/>
    </w:lvl>
  </w:abstractNum>
  <w:abstractNum w:abstractNumId="33">
    <w:nsid w:val="5EC6AFD4"/>
    <w:multiLevelType w:val="hybridMultilevel"/>
    <w:lvl w:ilvl="0">
      <w:lvlJc w:val="left"/>
      <w:lvlText w:val="(%1)"/>
      <w:numFmt w:val="lowerLetter"/>
      <w:start w:val="3"/>
    </w:lvl>
  </w:abstractNum>
  <w:abstractNum w:abstractNumId="34">
    <w:nsid w:val="19E21BB2"/>
    <w:multiLevelType w:val="hybridMultilevel"/>
    <w:lvl w:ilvl="0">
      <w:lvlJc w:val="left"/>
      <w:lvlText w:val="(%1)"/>
      <w:numFmt w:val="lowerRoman"/>
      <w:start w:val="1"/>
    </w:lvl>
  </w:abstractNum>
  <w:abstractNum w:abstractNumId="35">
    <w:nsid w:val="75E0858A"/>
    <w:multiLevelType w:val="hybridMultilevel"/>
    <w:lvl w:ilvl="0">
      <w:lvlJc w:val="left"/>
      <w:lvlText w:val="(%1)"/>
      <w:numFmt w:val="lowerLetter"/>
      <w:start w:val="1"/>
    </w:lvl>
  </w:abstractNum>
  <w:abstractNum w:abstractNumId="36">
    <w:nsid w:val="57A61A29"/>
    <w:multiLevelType w:val="hybridMultilevel"/>
    <w:lvl w:ilvl="0">
      <w:lvlJc w:val="left"/>
      <w:lvlText w:val="(%1)"/>
      <w:numFmt w:val="lowerRoman"/>
      <w:start w:val="1"/>
    </w:lvl>
  </w:abstractNum>
  <w:abstractNum w:abstractNumId="37">
    <w:nsid w:val="5399C654"/>
    <w:multiLevelType w:val="hybridMultilevel"/>
    <w:lvl w:ilvl="0">
      <w:lvlJc w:val="left"/>
      <w:lvlText w:val="(%1)"/>
      <w:numFmt w:val="decimal"/>
      <w:start w:val="1"/>
    </w:lvl>
  </w:abstractNum>
  <w:abstractNum w:abstractNumId="38">
    <w:nsid w:val="20EE1348"/>
    <w:multiLevelType w:val="hybridMultilevel"/>
    <w:lvl w:ilvl="0">
      <w:lvlJc w:val="left"/>
      <w:lvlText w:val="(%1)"/>
      <w:numFmt w:val="lowerLetter"/>
      <w:start w:val="7"/>
    </w:lvl>
  </w:abstractNum>
  <w:abstractNum w:abstractNumId="39">
    <w:nsid w:val="4427069A"/>
    <w:multiLevelType w:val="hybridMultilevel"/>
    <w:lvl w:ilvl="0">
      <w:lvlJc w:val="left"/>
      <w:lvlText w:val="(%1)"/>
      <w:numFmt w:val="lowerRoman"/>
      <w:start w:val="1"/>
    </w:lvl>
  </w:abstractNum>
  <w:abstractNum w:abstractNumId="40">
    <w:nsid w:val="B37E80A"/>
    <w:multiLevelType w:val="hybridMultilevel"/>
    <w:lvl w:ilvl="0">
      <w:lvlJc w:val="left"/>
      <w:lvlText w:val="(%1)"/>
      <w:numFmt w:val="lowerLetter"/>
      <w:start w:val="1"/>
    </w:lvl>
  </w:abstractNum>
  <w:abstractNum w:abstractNumId="41">
    <w:nsid w:val="2157F6BC"/>
    <w:multiLevelType w:val="hybridMultilevel"/>
    <w:lvl w:ilvl="0">
      <w:lvlJc w:val="left"/>
      <w:lvlText w:val="(%1)"/>
      <w:numFmt w:val="lowerLetter"/>
      <w:start w:val="1"/>
    </w:lvl>
  </w:abstractNum>
  <w:abstractNum w:abstractNumId="42">
    <w:nsid w:val="704E1DD5"/>
    <w:multiLevelType w:val="hybridMultilevel"/>
    <w:lvl w:ilvl="0">
      <w:lvlJc w:val="left"/>
      <w:lvlText w:val="(%1)"/>
      <w:numFmt w:val="lowerLetter"/>
      <w:start w:val="14"/>
    </w:lvl>
  </w:abstractNum>
  <w:abstractNum w:abstractNumId="43">
    <w:nsid w:val="57D2F10E"/>
    <w:multiLevelType w:val="hybridMultilevel"/>
    <w:lvl w:ilvl="0">
      <w:lvlJc w:val="left"/>
      <w:lvlText w:val="(%1)"/>
      <w:numFmt w:val="lowerRoman"/>
      <w:start w:val="1"/>
    </w:lvl>
  </w:abstractNum>
  <w:abstractNum w:abstractNumId="44">
    <w:nsid w:val="BFFAE18"/>
    <w:multiLevelType w:val="hybridMultilevel"/>
    <w:lvl w:ilvl="0">
      <w:lvlJc w:val="left"/>
      <w:lvlText w:val="(%1)"/>
      <w:numFmt w:val="lowerLetter"/>
      <w:start w:val="2"/>
    </w:lvl>
  </w:abstractNum>
  <w:abstractNum w:abstractNumId="45">
    <w:nsid w:val="E3E47A8"/>
    <w:multiLevelType w:val="hybridMultilevel"/>
    <w:lvl w:ilvl="0">
      <w:lvlJc w:val="left"/>
      <w:lvlText w:val="(%1)"/>
      <w:numFmt w:val="lowerLetter"/>
      <w:start w:val="1"/>
    </w:lvl>
  </w:abstractNum>
  <w:abstractNum w:abstractNumId="46">
    <w:nsid w:val="2E48F044"/>
    <w:multiLevelType w:val="hybridMultilevel"/>
    <w:lvl w:ilvl="0">
      <w:lvlJc w:val="left"/>
      <w:lvlText w:val="(%1)"/>
      <w:numFmt w:val="lowerLetter"/>
      <w:start w:val="5"/>
    </w:lvl>
  </w:abstractNum>
  <w:abstractNum w:abstractNumId="47">
    <w:nsid w:val="49D0FEAC"/>
    <w:multiLevelType w:val="hybridMultilevel"/>
    <w:lvl w:ilvl="0">
      <w:lvlJc w:val="left"/>
      <w:lvlText w:val="(%1)"/>
      <w:numFmt w:val="lowerLetter"/>
      <w:start w:val="1"/>
    </w:lvl>
  </w:abstractNum>
  <w:abstractNum w:abstractNumId="48">
    <w:nsid w:val="4BEE5A5B"/>
    <w:multiLevelType w:val="hybridMultilevel"/>
    <w:lvl w:ilvl="0">
      <w:lvlJc w:val="left"/>
      <w:lvlText w:val="(%1)"/>
      <w:numFmt w:val="lowerLetter"/>
      <w:start w:val="1"/>
    </w:lvl>
  </w:abstractNum>
  <w:abstractNum w:abstractNumId="49">
    <w:nsid w:val="5551B9F3"/>
    <w:multiLevelType w:val="hybridMultilevel"/>
    <w:lvl w:ilvl="0">
      <w:lvlJc w:val="left"/>
      <w:lvlText w:val="(%1)"/>
      <w:numFmt w:val="lowerLetter"/>
      <w:start w:val="3"/>
    </w:lvl>
  </w:abstractNum>
  <w:abstractNum w:abstractNumId="50">
    <w:nsid w:val="24F6AB8E"/>
    <w:multiLevelType w:val="hybridMultilevel"/>
    <w:lvl w:ilvl="0">
      <w:lvlJc w:val="left"/>
      <w:lvlText w:val="(%1)"/>
      <w:numFmt w:val="upperLetter"/>
      <w:start w:val="2"/>
    </w:lvl>
    <w:lvl w:ilvl="1">
      <w:lvlJc w:val="left"/>
      <w:lvlText w:val="(%2)"/>
      <w:numFmt w:val="lowerRoman"/>
      <w:start w:val="1"/>
    </w:lvl>
  </w:abstractNum>
  <w:abstractNum w:abstractNumId="51">
    <w:nsid w:val="634C574C"/>
    <w:multiLevelType w:val="hybridMultilevel"/>
    <w:lvl w:ilvl="0">
      <w:lvlJc w:val="left"/>
      <w:lvlText w:val="(%1)"/>
      <w:numFmt w:val="lowerLetter"/>
      <w:start w:val="1"/>
    </w:lvl>
  </w:abstractNum>
  <w:abstractNum w:abstractNumId="52">
    <w:nsid w:val="24E99DD7"/>
    <w:multiLevelType w:val="hybridMultilevel"/>
    <w:lvl w:ilvl="0">
      <w:lvlJc w:val="left"/>
      <w:lvlText w:val="(%1)"/>
      <w:numFmt w:val="lowerLetter"/>
      <w:start w:val="1"/>
    </w:lvl>
  </w:abstractNum>
  <w:abstractNum w:abstractNumId="53">
    <w:nsid w:val="2A31B62D"/>
    <w:multiLevelType w:val="hybridMultilevel"/>
    <w:lvl w:ilvl="0">
      <w:lvlJc w:val="left"/>
      <w:lvlText w:val="(%1)"/>
      <w:numFmt w:val="lowerLetter"/>
      <w:start w:val="3"/>
    </w:lvl>
    <w:lvl w:ilvl="1">
      <w:lvlJc w:val="left"/>
      <w:lvlText w:val="(%2)"/>
      <w:numFmt w:val="lowerRoman"/>
      <w:start w:val="1"/>
    </w:lvl>
  </w:abstractNum>
  <w:abstractNum w:abstractNumId="54">
    <w:nsid w:val="1849C29B"/>
    <w:multiLevelType w:val="hybridMultilevel"/>
    <w:lvl w:ilvl="0">
      <w:lvlJc w:val="left"/>
      <w:lvlText w:val="(%1)"/>
      <w:numFmt w:val="lowerLetter"/>
      <w:start w:val="4"/>
    </w:lvl>
  </w:abstractNum>
  <w:abstractNum w:abstractNumId="55">
    <w:nsid w:val="7DFF9D09"/>
    <w:multiLevelType w:val="hybridMultilevel"/>
    <w:lvl w:ilvl="0">
      <w:lvlJc w:val="left"/>
      <w:lvlText w:val="(%1)"/>
      <w:numFmt w:val="lowerRoman"/>
      <w:start w:val="10"/>
    </w:lvl>
  </w:abstractNum>
  <w:abstractNum w:abstractNumId="56">
    <w:nsid w:val="754342"/>
    <w:multiLevelType w:val="hybridMultilevel"/>
    <w:lvl w:ilvl="0">
      <w:lvlJc w:val="left"/>
      <w:lvlText w:val="%1"/>
      <w:numFmt w:val="lowerLetter"/>
      <w:start w:val="1"/>
    </w:lvl>
    <w:lvl w:ilvl="1">
      <w:lvlJc w:val="left"/>
      <w:lvlText w:val="(%2)"/>
      <w:numFmt w:val="lowerLetter"/>
      <w:start w:val="1"/>
    </w:lvl>
  </w:abstractNum>
  <w:abstractNum w:abstractNumId="57">
    <w:nsid w:val="69E7F3E5"/>
    <w:multiLevelType w:val="hybridMultilevel"/>
    <w:lvl w:ilvl="0">
      <w:lvlJc w:val="left"/>
      <w:lvlText w:val="(%1)"/>
      <w:numFmt w:val="lowerLetter"/>
      <w:start w:val="35"/>
    </w:lvl>
    <w:lvl w:ilvl="1">
      <w:lvlJc w:val="left"/>
      <w:lvlText w:val="(%2)"/>
      <w:numFmt w:val="lowerLetter"/>
      <w:start w:val="3"/>
    </w:lvl>
  </w:abstractNum>
  <w:abstractNum w:abstractNumId="58">
    <w:nsid w:val="2A6DE806"/>
    <w:multiLevelType w:val="hybridMultilevel"/>
    <w:lvl w:ilvl="0">
      <w:lvlJc w:val="left"/>
      <w:lvlText w:val="(%1)"/>
      <w:numFmt w:val="lowerLetter"/>
      <w:start w:val="1"/>
    </w:lvl>
  </w:abstractNum>
  <w:abstractNum w:abstractNumId="59">
    <w:nsid w:val="1816F8C4"/>
    <w:multiLevelType w:val="hybridMultilevel"/>
    <w:lvl w:ilvl="0">
      <w:lvlJc w:val="left"/>
      <w:lvlText w:val="(%1)"/>
      <w:numFmt w:val="lowerLetter"/>
      <w:start w:val="5"/>
    </w:lvl>
  </w:abstractNum>
  <w:abstractNum w:abstractNumId="60">
    <w:nsid w:val="37DF2233"/>
    <w:multiLevelType w:val="hybridMultilevel"/>
    <w:lvl w:ilvl="0">
      <w:lvlJc w:val="left"/>
      <w:lvlText w:val="(%1)"/>
      <w:numFmt w:val="lowerLetter"/>
      <w:start w:val="1"/>
    </w:lvl>
  </w:abstractNum>
  <w:abstractNum w:abstractNumId="61">
    <w:nsid w:val="7AB49DAF"/>
    <w:multiLevelType w:val="hybridMultilevel"/>
    <w:lvl w:ilvl="0">
      <w:lvlJc w:val="left"/>
      <w:lvlText w:val="(%1)"/>
      <w:numFmt w:val="lowerLetter"/>
      <w:start w:val="1"/>
    </w:lvl>
  </w:abstractNum>
  <w:abstractNum w:abstractNumId="62">
    <w:nsid w:val="759F82CD"/>
    <w:multiLevelType w:val="hybridMultilevel"/>
    <w:lvl w:ilvl="0">
      <w:lvlJc w:val="left"/>
      <w:lvlText w:val="(%1)"/>
      <w:numFmt w:val="lowerLetter"/>
      <w:start w:val="1"/>
    </w:lvl>
  </w:abstractNum>
  <w:abstractNum w:abstractNumId="63">
    <w:nsid w:val="61E74EA3"/>
    <w:multiLevelType w:val="hybridMultilevel"/>
    <w:lvl w:ilvl="0">
      <w:lvlJc w:val="left"/>
      <w:lvlText w:val="(%1)"/>
      <w:numFmt w:val="lowerRoman"/>
      <w:start w:val="1"/>
    </w:lvl>
  </w:abstractNum>
  <w:abstractNum w:abstractNumId="64">
    <w:nsid w:val="597B4D84"/>
    <w:multiLevelType w:val="hybridMultilevel"/>
    <w:lvl w:ilvl="0">
      <w:lvlJc w:val="left"/>
      <w:lvlText w:val="(%1)"/>
      <w:numFmt w:val="lowerRoman"/>
      <w:start w:val="2"/>
    </w:lvl>
  </w:abstractNum>
  <w:abstractNum w:abstractNumId="65">
    <w:nsid w:val="F819E7F"/>
    <w:multiLevelType w:val="hybridMultilevel"/>
    <w:lvl w:ilvl="0">
      <w:lvlJc w:val="left"/>
      <w:lvlText w:val="(%1)"/>
      <w:numFmt w:val="lowerLetter"/>
      <w:start w:val="2"/>
    </w:lvl>
  </w:abstractNum>
  <w:abstractNum w:abstractNumId="66">
    <w:nsid w:val="57C7D42D"/>
    <w:multiLevelType w:val="hybridMultilevel"/>
    <w:lvl w:ilvl="0">
      <w:lvlJc w:val="left"/>
      <w:lvlText w:val="(%1)"/>
      <w:numFmt w:val="lowerLetter"/>
      <w:start w:val="3"/>
    </w:lvl>
  </w:abstractNum>
  <w:abstractNum w:abstractNumId="67">
    <w:nsid w:val="312167AD"/>
    <w:multiLevelType w:val="hybridMultilevel"/>
    <w:lvl w:ilvl="0">
      <w:lvlJc w:val="left"/>
      <w:lvlText w:val="(%1)"/>
      <w:numFmt w:val="lowerLetter"/>
      <w:start w:val="3"/>
    </w:lvl>
  </w:abstractNum>
  <w:abstractNum w:abstractNumId="68">
    <w:nsid w:val="631B64D4"/>
    <w:multiLevelType w:val="hybridMultilevel"/>
    <w:lvl w:ilvl="0">
      <w:lvlJc w:val="left"/>
      <w:lvlText w:val="(%1)"/>
      <w:numFmt w:val="lowerLetter"/>
      <w:start w:val="6"/>
    </w:lvl>
  </w:abstractNum>
  <w:abstractNum w:abstractNumId="69">
    <w:nsid w:val="78B5E7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0">
    <w:nsid w:val="75486E47"/>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3"/>
    </w:lvl>
  </w:abstractNum>
  <w:abstractNum w:abstractNumId="71">
    <w:nsid w:val="6E534CDE"/>
    <w:multiLevelType w:val="hybridMultilevel"/>
    <w:lvl w:ilvl="0">
      <w:lvlJc w:val="left"/>
      <w:lvlText w:val="(%1)"/>
      <w:numFmt w:val="lowerLetter"/>
      <w:start w:val="5"/>
    </w:lvl>
  </w:abstractNum>
  <w:abstractNum w:abstractNumId="72">
    <w:nsid w:val="1A0DDE32"/>
    <w:multiLevelType w:val="hybridMultilevel"/>
    <w:lvl w:ilvl="0">
      <w:lvlJc w:val="left"/>
      <w:lvlText w:val="(%1)"/>
      <w:numFmt w:val="lowerLetter"/>
      <w:start w:val="1"/>
    </w:lvl>
  </w:abstractNum>
  <w:abstractNum w:abstractNumId="73">
    <w:nsid w:val="65968C1C"/>
    <w:multiLevelType w:val="hybridMultilevel"/>
    <w:lvl w:ilvl="0">
      <w:lvlJc w:val="left"/>
      <w:lvlText w:val="(%1)"/>
      <w:numFmt w:val="lowerLetter"/>
      <w:start w:val="1"/>
    </w:lvl>
  </w:abstractNum>
  <w:abstractNum w:abstractNumId="74">
    <w:nsid w:val="46263DEC"/>
    <w:multiLevelType w:val="hybridMultilevel"/>
    <w:lvl w:ilvl="0">
      <w:lvlJc w:val="left"/>
      <w:lvlText w:val="(%1)"/>
      <w:numFmt w:val="lowerLetter"/>
      <w:start w:val="5"/>
    </w:lvl>
    <w:lvl w:ilvl="1">
      <w:lvlJc w:val="left"/>
      <w:lvlText w:val="(%2)"/>
      <w:numFmt w:val="lowerRoman"/>
      <w:start w:val="1"/>
    </w:lvl>
  </w:abstractNum>
  <w:abstractNum w:abstractNumId="75">
    <w:nsid w:val="260D8C4A"/>
    <w:multiLevelType w:val="hybridMultilevel"/>
    <w:lvl w:ilvl="0">
      <w:lvlJc w:val="left"/>
      <w:lvlText w:val="(%1)"/>
      <w:numFmt w:val="lowerLetter"/>
      <w:start w:val="7"/>
    </w:lvl>
    <w:lvl w:ilvl="1">
      <w:lvlJc w:val="left"/>
      <w:lvlText w:val="(%2)"/>
      <w:numFmt w:val="lowerRoman"/>
      <w:start w:val="1"/>
    </w:lvl>
  </w:abstractNum>
  <w:abstractNum w:abstractNumId="76">
    <w:nsid w:val="73D4D3C4"/>
    <w:multiLevelType w:val="hybridMultilevel"/>
    <w:lvl w:ilvl="0">
      <w:lvlJc w:val="left"/>
      <w:lvlText w:val="(%1)"/>
      <w:numFmt w:val="lowerLetter"/>
      <w:start w:val="10"/>
    </w:lvl>
  </w:abstractNum>
  <w:abstractNum w:abstractNumId="77">
    <w:nsid w:val="746F2E30"/>
    <w:multiLevelType w:val="hybridMultilevel"/>
    <w:lvl w:ilvl="0">
      <w:lvlJc w:val="left"/>
      <w:lvlText w:val="(%1)"/>
      <w:numFmt w:val="lowerLetter"/>
      <w:start w:val="1"/>
    </w:lvl>
  </w:abstractNum>
  <w:abstractNum w:abstractNumId="78">
    <w:nsid w:val="6FDE8AF6"/>
    <w:multiLevelType w:val="hybridMultilevel"/>
    <w:lvl w:ilvl="0">
      <w:lvlJc w:val="left"/>
      <w:lvlText w:val="%1"/>
      <w:numFmt w:val="lowerLetter"/>
      <w:start w:val="1"/>
    </w:lvl>
    <w:lvl w:ilvl="1">
      <w:lvlJc w:val="left"/>
      <w:lvlText w:val="(%2)"/>
      <w:numFmt w:val="lowerLetter"/>
      <w:start w:val="3"/>
    </w:lvl>
  </w:abstractNum>
  <w:abstractNum w:abstractNumId="79">
    <w:nsid w:val="3FC32E20"/>
    <w:multiLevelType w:val="hybridMultilevel"/>
    <w:lvl w:ilvl="0">
      <w:lvlJc w:val="left"/>
      <w:lvlText w:val="(%1)"/>
      <w:numFmt w:val="lowerLetter"/>
      <w:start w:val="5"/>
    </w:lvl>
    <w:lvl w:ilvl="1">
      <w:lvlJc w:val="left"/>
      <w:lvlText w:val="%2"/>
      <w:numFmt w:val="lowerLetter"/>
      <w:start w:val="1"/>
    </w:lvl>
  </w:abstractNum>
  <w:abstractNum w:abstractNumId="80">
    <w:nsid w:val="49C0E823"/>
    <w:multiLevelType w:val="hybridMultilevel"/>
    <w:lvl w:ilvl="0">
      <w:lvlJc w:val="left"/>
      <w:lvlText w:val="(%1)"/>
      <w:numFmt w:val="lowerLetter"/>
      <w:start w:val="1"/>
    </w:lvl>
  </w:abstractNum>
  <w:abstractNum w:abstractNumId="81">
    <w:nsid w:val="14D53685"/>
    <w:multiLevelType w:val="hybridMultilevel"/>
    <w:lvl w:ilvl="0">
      <w:lvlJc w:val="left"/>
      <w:lvlText w:val="(%1)"/>
      <w:numFmt w:val="lowerLetter"/>
      <w:start w:val="2"/>
    </w:lvl>
  </w:abstractNum>
  <w:abstractNum w:abstractNumId="82">
    <w:nsid w:val="230F856C"/>
    <w:multiLevelType w:val="hybridMultilevel"/>
    <w:lvl w:ilvl="0">
      <w:lvlJc w:val="left"/>
      <w:lvlText w:val="(%1)"/>
      <w:numFmt w:val="lowerLetter"/>
      <w:start w:val="1"/>
    </w:lvl>
    <w:lvl w:ilvl="1">
      <w:lvlJc w:val="left"/>
      <w:lvlText w:val="(%2)"/>
      <w:numFmt w:val="lowerRoman"/>
      <w:start w:val="1"/>
    </w:lvl>
  </w:abstractNum>
  <w:abstractNum w:abstractNumId="83">
    <w:nsid w:val="6EAA85FB"/>
    <w:multiLevelType w:val="hybridMultilevel"/>
    <w:lvl w:ilvl="0">
      <w:lvlJc w:val="left"/>
      <w:lvlText w:val="(%1)"/>
      <w:numFmt w:val="lowerRoman"/>
      <w:start w:val="3"/>
    </w:lvl>
  </w:abstractNum>
  <w:abstractNum w:abstractNumId="84">
    <w:nsid w:val="3F06ECB2"/>
    <w:multiLevelType w:val="hybridMultilevel"/>
    <w:lvl w:ilvl="0">
      <w:lvlJc w:val="left"/>
      <w:lvlText w:val="%1"/>
      <w:numFmt w:val="lowerLetter"/>
      <w:start w:val="1"/>
    </w:lvl>
    <w:lvl w:ilvl="1">
      <w:lvlJc w:val="left"/>
      <w:lvlText w:val="(%2)"/>
      <w:numFmt w:val="lowerLetter"/>
      <w:start w:val="22"/>
    </w:lvl>
  </w:abstractNum>
  <w:abstractNum w:abstractNumId="85">
    <w:nsid w:val="3B594807"/>
    <w:multiLevelType w:val="hybridMultilevel"/>
    <w:lvl w:ilvl="0">
      <w:lvlJc w:val="left"/>
      <w:lvlText w:val="(%1)"/>
      <w:numFmt w:val="lowerLetter"/>
      <w:start w:val="2"/>
    </w:lvl>
    <w:lvl w:ilvl="1">
      <w:lvlJc w:val="left"/>
      <w:lvlText w:val="(%2)"/>
      <w:numFmt w:val="lowerLetter"/>
      <w:start w:val="9"/>
    </w:lvl>
  </w:abstractNum>
  <w:abstractNum w:abstractNumId="86">
    <w:nsid w:val="6CAA2304"/>
    <w:multiLevelType w:val="hybridMultilevel"/>
    <w:lvl w:ilvl="0">
      <w:lvlJc w:val="left"/>
      <w:lvlText w:val="%1"/>
      <w:numFmt w:val="lowerLetter"/>
      <w:start w:val="1"/>
    </w:lvl>
    <w:lvl w:ilvl="1">
      <w:lvlJc w:val="left"/>
      <w:lvlText w:val="(%2)"/>
      <w:numFmt w:val="lowerRoman"/>
      <w:start w:val="2"/>
    </w:lvl>
  </w:abstractNum>
  <w:abstractNum w:abstractNumId="87">
    <w:nsid w:val="3F7C2FF4"/>
    <w:multiLevelType w:val="hybridMultilevel"/>
    <w:lvl w:ilvl="0">
      <w:lvlJc w:val="left"/>
      <w:lvlText w:val="(%1)"/>
      <w:numFmt w:val="lowerLetter"/>
      <w:start w:val="5"/>
    </w:lvl>
    <w:lvl w:ilvl="1">
      <w:lvlJc w:val="left"/>
      <w:lvlText w:val="%2"/>
      <w:numFmt w:val="lowerRoman"/>
      <w:start w:val="1"/>
    </w:lvl>
  </w:abstractNum>
  <w:abstractNum w:abstractNumId="88">
    <w:nsid w:val="25413BEC"/>
    <w:multiLevelType w:val="hybridMultilevel"/>
    <w:lvl w:ilvl="0">
      <w:lvlJc w:val="left"/>
      <w:lvlText w:val="(%1)"/>
      <w:numFmt w:val="lowerLetter"/>
      <w:start w:val="1"/>
    </w:lvl>
  </w:abstractNum>
  <w:abstractNum w:abstractNumId="89">
    <w:nsid w:val="17180B0B"/>
    <w:multiLevelType w:val="hybridMultilevel"/>
    <w:lvl w:ilvl="0">
      <w:lvlJc w:val="left"/>
      <w:lvlText w:val="(%1)"/>
      <w:numFmt w:val="lowerLetter"/>
      <w:start w:val="2"/>
    </w:lvl>
  </w:abstractNum>
  <w:abstractNum w:abstractNumId="90">
    <w:nsid w:val="579328B9"/>
    <w:multiLevelType w:val="hybridMultilevel"/>
    <w:lvl w:ilvl="0">
      <w:lvlJc w:val="left"/>
      <w:lvlText w:val="(%1)"/>
      <w:numFmt w:val="lowerLetter"/>
      <w:start w:val="1"/>
    </w:lvl>
  </w:abstractNum>
  <w:abstractNum w:abstractNumId="91">
    <w:nsid w:val="5D205E20"/>
    <w:multiLevelType w:val="hybridMultilevel"/>
    <w:lvl w:ilvl="0">
      <w:lvlJc w:val="left"/>
      <w:lvlText w:val="(%1)"/>
      <w:numFmt w:val="lowerLetter"/>
      <w:start w:val="2"/>
    </w:lvl>
  </w:abstractNum>
  <w:abstractNum w:abstractNumId="92">
    <w:nsid w:val="11CCA8BA"/>
    <w:multiLevelType w:val="hybridMultilevel"/>
    <w:lvl w:ilvl="0">
      <w:lvlJc w:val="left"/>
      <w:lvlText w:val="(%1)"/>
      <w:numFmt w:val="lowerLetter"/>
      <w:start w:val="4"/>
    </w:lvl>
  </w:abstractNum>
  <w:abstractNum w:abstractNumId="93">
    <w:nsid w:val="4D32AB86"/>
    <w:multiLevelType w:val="hybridMultilevel"/>
    <w:lvl w:ilvl="0">
      <w:lvlJc w:val="left"/>
      <w:lvlText w:val="(%1)"/>
      <w:numFmt w:val="lowerLetter"/>
      <w:start w:val="6"/>
    </w:lvl>
  </w:abstractNum>
  <w:abstractNum w:abstractNumId="94">
    <w:nsid w:val="3F07ACC3"/>
    <w:multiLevelType w:val="hybridMultilevel"/>
    <w:lvl w:ilvl="0">
      <w:lvlJc w:val="left"/>
      <w:lvlText w:val="(%1)"/>
      <w:numFmt w:val="lowerLetter"/>
      <w:start w:val="9"/>
    </w:lvl>
  </w:abstractNum>
  <w:abstractNum w:abstractNumId="95">
    <w:nsid w:val="6B47F63E"/>
    <w:multiLevelType w:val="hybridMultilevel"/>
    <w:lvl w:ilvl="0">
      <w:lvlJc w:val="left"/>
      <w:lvlText w:val="(%1)"/>
      <w:numFmt w:val="lowerLetter"/>
      <w:start w:val="1"/>
    </w:lvl>
  </w:abstractNum>
  <w:abstractNum w:abstractNumId="96">
    <w:nsid w:val="5CB44A05"/>
    <w:multiLevelType w:val="hybridMultilevel"/>
    <w:lvl w:ilvl="0">
      <w:lvlJc w:val="left"/>
      <w:lvlText w:val="(%1)"/>
      <w:numFmt w:val="lowerLetter"/>
      <w:start w:val="1"/>
    </w:lvl>
  </w:abstractNum>
  <w:abstractNum w:abstractNumId="97">
    <w:nsid w:val="16CF80F1"/>
    <w:multiLevelType w:val="hybridMultilevel"/>
    <w:lvl w:ilvl="0">
      <w:lvlJc w:val="left"/>
      <w:lvlText w:val="(%1)"/>
      <w:numFmt w:val="lowerLetter"/>
      <w:start w:val="1"/>
    </w:lvl>
  </w:abstractNum>
  <w:abstractNum w:abstractNumId="98">
    <w:nsid w:val="1C695DEC"/>
    <w:multiLevelType w:val="hybridMultilevel"/>
    <w:lvl w:ilvl="0">
      <w:lvlJc w:val="left"/>
      <w:lvlText w:val="(%1)"/>
      <w:numFmt w:val="lowerLetter"/>
      <w:start w:val="1"/>
    </w:lvl>
  </w:abstractNum>
  <w:abstractNum w:abstractNumId="99">
    <w:nsid w:val="3FCFAED9"/>
    <w:multiLevelType w:val="hybridMultilevel"/>
    <w:lvl w:ilvl="0">
      <w:lvlJc w:val="left"/>
      <w:lvlText w:val="(%1)"/>
      <w:numFmt w:val="lowerLetter"/>
      <w:start w:val="2"/>
    </w:lvl>
  </w:abstractNum>
  <w:abstractNum w:abstractNumId="100">
    <w:nsid w:val="F856867"/>
    <w:multiLevelType w:val="hybridMultilevel"/>
    <w:lvl w:ilvl="0">
      <w:lvlJc w:val="left"/>
      <w:lvlText w:val="(%1)"/>
      <w:numFmt w:val="lowerLetter"/>
      <w:start w:val="1"/>
    </w:lvl>
  </w:abstractNum>
  <w:abstractNum w:abstractNumId="101">
    <w:nsid w:val="11B1CC33"/>
    <w:multiLevelType w:val="hybridMultilevel"/>
    <w:lvl w:ilvl="0">
      <w:lvlJc w:val="left"/>
      <w:lvlText w:val="(%1)"/>
      <w:numFmt w:val="lowerLetter"/>
      <w:start w:val="1"/>
    </w:lvl>
  </w:abstractNum>
  <w:abstractNum w:abstractNumId="102">
    <w:nsid w:val="2E22FBB7"/>
    <w:multiLevelType w:val="hybridMultilevel"/>
    <w:lvl w:ilvl="0">
      <w:lvlJc w:val="left"/>
      <w:lvlText w:val="%1"/>
      <w:numFmt w:val="lowerLetter"/>
      <w:start w:val="1"/>
    </w:lvl>
    <w:lvl w:ilvl="1">
      <w:lvlJc w:val="left"/>
      <w:lvlText w:val="(%2)"/>
      <w:numFmt w:val="lowerRoman"/>
      <w:start w:val="1"/>
    </w:lvl>
  </w:abstractNum>
  <w:abstractNum w:abstractNumId="103">
    <w:nsid w:val="29934699"/>
    <w:multiLevelType w:val="hybridMultilevel"/>
    <w:lvl w:ilvl="0">
      <w:lvlJc w:val="left"/>
      <w:lvlText w:val="(%1)"/>
      <w:numFmt w:val="lowerLetter"/>
      <w:start w:val="2"/>
    </w:lvl>
    <w:lvl w:ilvl="1">
      <w:lvlJc w:val="left"/>
      <w:lvlText w:val="%2"/>
      <w:numFmt w:val="lowerRoman"/>
      <w:start w:val="1"/>
    </w:lvl>
  </w:abstractNum>
  <w:abstractNum w:abstractNumId="104">
    <w:nsid w:val="77485850"/>
    <w:multiLevelType w:val="hybridMultilevel"/>
    <w:lvl w:ilvl="0">
      <w:lvlJc w:val="left"/>
      <w:lvlText w:val="(%1)"/>
      <w:numFmt w:val="lowerLetter"/>
      <w:start w:val="1"/>
    </w:lvl>
  </w:abstractNum>
  <w:abstractNum w:abstractNumId="105">
    <w:nsid w:val="744939A3"/>
    <w:multiLevelType w:val="hybridMultilevel"/>
    <w:lvl w:ilvl="0">
      <w:lvlJc w:val="left"/>
      <w:lvlText w:val="(%1)"/>
      <w:numFmt w:val="lowerLetter"/>
      <w:start w:val="1"/>
    </w:lvl>
  </w:abstractNum>
  <w:abstractNum w:abstractNumId="106">
    <w:nsid w:val="4FA0D2E3"/>
    <w:multiLevelType w:val="hybridMultilevel"/>
    <w:lvl w:ilvl="0">
      <w:lvlJc w:val="left"/>
      <w:lvlText w:val="(%1)"/>
      <w:numFmt w:val="lowerLetter"/>
      <w:start w:val="1"/>
    </w:lvl>
  </w:abstractNum>
  <w:abstractNum w:abstractNumId="107">
    <w:nsid w:val="6B1D2C14"/>
    <w:multiLevelType w:val="hybridMultilevel"/>
    <w:lvl w:ilvl="0">
      <w:lvlJc w:val="left"/>
      <w:lvlText w:val="(%1)"/>
      <w:numFmt w:val="lowerLetter"/>
      <w:start w:val="2"/>
    </w:lvl>
  </w:abstractNum>
  <w:abstractNum w:abstractNumId="108">
    <w:nsid w:val="68B867D3"/>
    <w:multiLevelType w:val="hybridMultilevel"/>
    <w:lvl w:ilvl="0">
      <w:lvlJc w:val="left"/>
      <w:lvlText w:val="%1"/>
      <w:numFmt w:val="lowerRoman"/>
      <w:start w:val="1"/>
    </w:lvl>
    <w:lvl w:ilvl="1">
      <w:lvlJc w:val="left"/>
      <w:lvlText w:val="(%2)"/>
      <w:numFmt w:val="lowerRoman"/>
      <w:start w:val="1"/>
    </w:lvl>
  </w:abstractNum>
  <w:abstractNum w:abstractNumId="109">
    <w:nsid w:val="3F7F5DD9"/>
    <w:multiLevelType w:val="hybridMultilevel"/>
    <w:lvl w:ilvl="0">
      <w:lvlJc w:val="left"/>
      <w:lvlText w:val="(%1)"/>
      <w:numFmt w:val="lowerRoman"/>
      <w:start w:val="2"/>
    </w:lvl>
    <w:lvl w:ilvl="1">
      <w:lvlJc w:val="left"/>
      <w:lvlText w:val="%2"/>
      <w:numFmt w:val="lowerRoman"/>
      <w:start w:val="1"/>
    </w:lvl>
  </w:abstractNum>
  <w:abstractNum w:abstractNumId="110">
    <w:nsid w:val="2AE05A34"/>
    <w:multiLevelType w:val="hybridMultilevel"/>
    <w:lvl w:ilvl="0">
      <w:lvlJc w:val="left"/>
      <w:lvlText w:val="(%1)"/>
      <w:numFmt w:val="lowerLetter"/>
      <w:start w:val="10"/>
    </w:lvl>
    <w:lvl w:ilvl="1">
      <w:lvlJc w:val="left"/>
      <w:lvlText w:val="(%2)"/>
      <w:numFmt w:val="lowerLetter"/>
      <w:start w:val="9"/>
    </w:lvl>
  </w:abstractNum>
  <w:abstractNum w:abstractNumId="111">
    <w:nsid w:val="32794FF7"/>
    <w:multiLevelType w:val="hybridMultilevel"/>
    <w:lvl w:ilvl="0">
      <w:lvlJc w:val="left"/>
      <w:lvlText w:val="(%1)"/>
      <w:numFmt w:val="lowerRoman"/>
      <w:start w:val="2"/>
    </w:lvl>
  </w:abstractNum>
  <w:abstractNum w:abstractNumId="112">
    <w:nsid w:val="5454945E"/>
    <w:multiLevelType w:val="hybridMultilevel"/>
    <w:lvl w:ilvl="0">
      <w:lvlJc w:val="left"/>
      <w:lvlText w:val="(%1)"/>
      <w:numFmt w:val="lowerLetter"/>
      <w:start w:val="1"/>
    </w:lvl>
  </w:abstractNum>
  <w:abstractNum w:abstractNumId="113">
    <w:nsid w:val="4DEFDFA0"/>
    <w:multiLevelType w:val="hybridMultilevel"/>
    <w:lvl w:ilvl="0">
      <w:lvlJc w:val="left"/>
      <w:lvlText w:val="(%1)"/>
      <w:numFmt w:val="lowerLetter"/>
      <w:start w:val="1"/>
    </w:lvl>
  </w:abstractNum>
  <w:abstractNum w:abstractNumId="114">
    <w:nsid w:val="2123D5F2"/>
    <w:multiLevelType w:val="hybridMultilevel"/>
    <w:lvl w:ilvl="0">
      <w:lvlJc w:val="left"/>
      <w:lvlText w:val="(%1)"/>
      <w:numFmt w:val="lowerLetter"/>
      <w:start w:val="5"/>
    </w:lvl>
  </w:abstractNum>
  <w:abstractNum w:abstractNumId="115">
    <w:nsid w:val="135B8110"/>
    <w:multiLevelType w:val="hybridMultilevel"/>
    <w:lvl w:ilvl="0">
      <w:lvlJc w:val="left"/>
      <w:lvlText w:val="(%1)"/>
      <w:numFmt w:val="lowerLetter"/>
      <w:start w:val="1"/>
    </w:lvl>
  </w:abstractNum>
  <w:abstractNum w:abstractNumId="116">
    <w:nsid w:val="94927A8"/>
    <w:multiLevelType w:val="hybridMultilevel"/>
    <w:lvl w:ilvl="0">
      <w:lvlJc w:val="left"/>
      <w:lvlText w:val="(%1)"/>
      <w:numFmt w:val="lowerLetter"/>
      <w:start w:val="1"/>
    </w:lvl>
  </w:abstractNum>
  <w:abstractNum w:abstractNumId="117">
    <w:nsid w:val="DCDF8F6"/>
    <w:multiLevelType w:val="hybridMultilevel"/>
    <w:lvl w:ilvl="0">
      <w:lvlJc w:val="left"/>
      <w:lvlText w:val="%1"/>
      <w:numFmt w:val="lowerLetter"/>
      <w:start w:val="1"/>
    </w:lvl>
    <w:lvl w:ilvl="1">
      <w:lvlJc w:val="left"/>
      <w:lvlText w:val="(%2)"/>
      <w:numFmt w:val="lowerLetter"/>
      <w:start w:val="2"/>
    </w:lvl>
  </w:abstractNum>
  <w:abstractNum w:abstractNumId="118">
    <w:nsid w:val="52D7B105"/>
    <w:multiLevelType w:val="hybridMultilevel"/>
    <w:lvl w:ilvl="0">
      <w:lvlJc w:val="left"/>
      <w:lvlText w:val="(%1)"/>
      <w:numFmt w:val="lowerLetter"/>
      <w:start w:val="61"/>
    </w:lvl>
    <w:lvl w:ilvl="1">
      <w:lvlJc w:val="left"/>
      <w:lvlText w:val="(%2)"/>
      <w:numFmt w:val="lowerLetter"/>
      <w:start w:val="3"/>
    </w:lvl>
  </w:abstractNum>
  <w:abstractNum w:abstractNumId="119">
    <w:nsid w:val="2E8A6394"/>
    <w:multiLevelType w:val="hybridMultilevel"/>
    <w:lvl w:ilvl="0">
      <w:lvlJc w:val="left"/>
      <w:lvlText w:val="(%1)"/>
      <w:numFmt w:val="lowerLetter"/>
      <w:start w:val="9"/>
    </w:lvl>
    <w:lvl w:ilvl="1">
      <w:lvlJc w:val="left"/>
      <w:lvlText w:val="%2"/>
      <w:numFmt w:val="lowerLetter"/>
      <w:start w:val="1"/>
    </w:lvl>
  </w:abstractNum>
  <w:abstractNum w:abstractNumId="120">
    <w:nsid w:val="24E60401"/>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abstractNum>
  <w:abstractNum w:abstractNumId="121">
    <w:nsid w:val="2A6AD9BE"/>
    <w:multiLevelType w:val="hybridMultilevel"/>
    <w:lvl w:ilvl="0">
      <w:lvlJc w:val="left"/>
      <w:lvlText w:val="(%1)"/>
      <w:numFmt w:val="lowerLetter"/>
      <w:start w:val="35"/>
    </w:lvl>
    <w:lvl w:ilvl="1">
      <w:lvlJc w:val="left"/>
      <w:lvlText w:val="(%2)"/>
      <w:numFmt w:val="lowerLetter"/>
      <w:start w:val="5"/>
    </w:lvl>
    <w:lvl w:ilvl="2">
      <w:lvlJc w:val="left"/>
      <w:lvlText w:val="(%3)"/>
      <w:numFmt w:val="upperLetter"/>
      <w:start w:val="1"/>
    </w:lvl>
  </w:abstractNum>
  <w:abstractNum w:abstractNumId="122">
    <w:nsid w:val="BAAC1B4"/>
    <w:multiLevelType w:val="hybridMultilevel"/>
    <w:lvl w:ilvl="0">
      <w:lvlJc w:val="left"/>
      <w:lvlText w:val="(%1)"/>
      <w:numFmt w:val="upperLetter"/>
      <w:start w:val="2"/>
    </w:lvl>
  </w:abstractNum>
  <w:abstractNum w:abstractNumId="123">
    <w:nsid w:val="36B2ACBC"/>
    <w:multiLevelType w:val="hybridMultilevel"/>
    <w:lvl w:ilvl="0">
      <w:lvlJc w:val="left"/>
      <w:lvlText w:val="(%1)"/>
      <w:numFmt w:val="lowerRoman"/>
      <w:start w:val="2"/>
    </w:lvl>
  </w:abstractNum>
  <w:abstractNum w:abstractNumId="124">
    <w:nsid w:val="779D8544"/>
    <w:multiLevelType w:val="hybridMultilevel"/>
    <w:lvl w:ilvl="0">
      <w:lvlJc w:val="left"/>
      <w:lvlText w:val="%1"/>
      <w:numFmt w:val="lowerRoman"/>
      <w:start w:val="1"/>
    </w:lvl>
    <w:lvl w:ilvl="1">
      <w:lvlJc w:val="left"/>
      <w:lvlText w:val="(%2)"/>
      <w:numFmt w:val="upperLetter"/>
      <w:start w:val="1"/>
    </w:lvl>
  </w:abstractNum>
  <w:abstractNum w:abstractNumId="125">
    <w:nsid w:val="4AB26E78"/>
    <w:multiLevelType w:val="hybridMultilevel"/>
    <w:lvl w:ilvl="0">
      <w:lvlJc w:val="left"/>
      <w:lvlText w:val="(%1)"/>
      <w:numFmt w:val="lowerRoman"/>
      <w:start w:val="1"/>
    </w:lvl>
    <w:lvl w:ilvl="1">
      <w:lvlJc w:val="left"/>
      <w:lvlText w:val="(%2)"/>
      <w:numFmt w:val="upperLetter"/>
      <w:start w:val="3"/>
    </w:lvl>
  </w:abstractNum>
  <w:abstractNum w:abstractNumId="126">
    <w:nsid w:val="21FAA2FA"/>
    <w:multiLevelType w:val="hybridMultilevel"/>
    <w:lvl w:ilvl="0">
      <w:lvlJc w:val="left"/>
      <w:lvlText w:val="(%1)"/>
      <w:numFmt w:val="lowerRoman"/>
      <w:start w:val="4"/>
    </w:lvl>
    <w:lvl w:ilvl="1">
      <w:lvlJc w:val="left"/>
      <w:lvlText w:val="%2"/>
      <w:numFmt w:val="upperLetter"/>
      <w:start w:val="1"/>
    </w:lvl>
  </w:abstractNum>
  <w:abstractNum w:abstractNumId="127">
    <w:nsid w:val="5451CF49"/>
    <w:multiLevelType w:val="hybridMultilevel"/>
    <w:lvl w:ilvl="0">
      <w:lvlJc w:val="left"/>
      <w:lvlText w:val="(%1)"/>
      <w:numFmt w:val="lowerRoman"/>
      <w:start w:val="10"/>
    </w:lvl>
    <w:lvl w:ilvl="1">
      <w:lvlJc w:val="left"/>
      <w:lvlText w:val="%2"/>
      <w:numFmt w:val="upperLetter"/>
      <w:start w:val="1"/>
    </w:lvl>
  </w:abstractNum>
  <w:abstractNum w:abstractNumId="128">
    <w:nsid w:val="6181EF69"/>
    <w:multiLevelType w:val="hybridMultilevel"/>
    <w:lvl w:ilvl="0">
      <w:lvlJc w:val="left"/>
      <w:lvlText w:val="(%1)"/>
      <w:numFmt w:val="lowerLetter"/>
      <w:start w:val="1"/>
    </w:lvl>
  </w:abstractNum>
  <w:abstractNum w:abstractNumId="129">
    <w:nsid w:val="3E6400E6"/>
    <w:multiLevelType w:val="hybridMultilevel"/>
    <w:lvl w:ilvl="0">
      <w:lvlJc w:val="left"/>
      <w:lvlText w:val="%1"/>
      <w:numFmt w:val="lowerLetter"/>
      <w:start w:val="1"/>
    </w:lvl>
    <w:lvl w:ilvl="1">
      <w:lvlJc w:val="left"/>
      <w:lvlText w:val="(%2)"/>
      <w:numFmt w:val="lowerLetter"/>
      <w:start w:val="1"/>
    </w:lvl>
  </w:abstractNum>
  <w:abstractNum w:abstractNumId="130">
    <w:nsid w:val="14217E23"/>
    <w:multiLevelType w:val="hybridMultilevel"/>
    <w:lvl w:ilvl="0">
      <w:lvlJc w:val="left"/>
      <w:lvlText w:val="(%1)"/>
      <w:numFmt w:val="lowerLetter"/>
      <w:start w:val="24"/>
    </w:lvl>
    <w:lvl w:ilvl="1">
      <w:lvlJc w:val="left"/>
      <w:lvlText w:val="(%2)"/>
      <w:numFmt w:val="lowerLetter"/>
      <w:start w:val="6"/>
    </w:lvl>
  </w:abstractNum>
  <w:abstractNum w:abstractNumId="131">
    <w:nsid w:val="710757D0"/>
    <w:multiLevelType w:val="hybridMultilevel"/>
    <w:lvl w:ilvl="0">
      <w:lvlJc w:val="left"/>
      <w:lvlText w:val="(%1)"/>
      <w:numFmt w:val="lowerLetter"/>
      <w:start w:val="9"/>
    </w:lvl>
    <w:lvl w:ilvl="1">
      <w:lvlJc w:val="left"/>
      <w:lvlText w:val="%2"/>
      <w:numFmt w:val="lowerLetter"/>
      <w:start w:val="1"/>
    </w:lvl>
  </w:abstractNum>
  <w:abstractNum w:abstractNumId="132">
    <w:nsid w:val="5015CD1A"/>
    <w:multiLevelType w:val="hybridMultilevel"/>
    <w:lvl w:ilvl="0">
      <w:lvlJc w:val="left"/>
      <w:lvlText w:val="(%1)"/>
      <w:numFmt w:val="lowerLetter"/>
      <w:start w:val="24"/>
    </w:lvl>
    <w:lvl w:ilvl="1">
      <w:lvlJc w:val="left"/>
      <w:lvlText w:val="%2"/>
      <w:numFmt w:val="lowerLetter"/>
      <w:start w:val="1"/>
    </w:lvl>
  </w:abstractNum>
  <w:abstractNum w:abstractNumId="133">
    <w:nsid w:val="424479DA"/>
    <w:multiLevelType w:val="hybridMultilevel"/>
    <w:lvl w:ilvl="0">
      <w:lvlJc w:val="left"/>
      <w:lvlText w:val="%1"/>
      <w:numFmt w:val="lowerLetter"/>
      <w:start w:val="1"/>
    </w:lvl>
    <w:lvl w:ilvl="1">
      <w:lvlJc w:val="left"/>
      <w:lvlText w:val="(%2)"/>
      <w:numFmt w:val="lowerLetter"/>
      <w:start w:val="7"/>
    </w:lvl>
  </w:abstractNum>
  <w:abstractNum w:abstractNumId="134">
    <w:nsid w:val="1A9A9E69"/>
    <w:multiLevelType w:val="hybridMultilevel"/>
    <w:lvl w:ilvl="0">
      <w:lvlJc w:val="left"/>
      <w:lvlText w:val="(%1)"/>
      <w:numFmt w:val="lowerLetter"/>
      <w:start w:val="9"/>
    </w:lvl>
    <w:lvl w:ilvl="1">
      <w:lvlJc w:val="left"/>
      <w:lvlText w:val="(%2)"/>
      <w:numFmt w:val="lowerLetter"/>
      <w:start w:val="9"/>
    </w:lvl>
  </w:abstractNum>
  <w:abstractNum w:abstractNumId="135">
    <w:nsid w:val="475E256A"/>
    <w:multiLevelType w:val="hybridMultilevel"/>
    <w:lvl w:ilvl="0">
      <w:lvlJc w:val="left"/>
      <w:lvlText w:val="(%1)"/>
      <w:numFmt w:val="lowerLetter"/>
      <w:start w:val="17"/>
    </w:lvl>
  </w:abstractNum>
  <w:abstractNum w:abstractNumId="136">
    <w:nsid w:val="368DB37E"/>
    <w:multiLevelType w:val="hybridMultilevel"/>
    <w:lvl w:ilvl="0">
      <w:lvlJc w:val="left"/>
      <w:lvlText w:val="%1"/>
      <w:numFmt w:val="lowerLetter"/>
      <w:start w:val="1"/>
    </w:lvl>
    <w:lvl w:ilvl="1">
      <w:lvlJc w:val="left"/>
      <w:lvlText w:val="(%2)"/>
      <w:numFmt w:val="lowerLetter"/>
      <w:start w:val="1"/>
    </w:lvl>
  </w:abstractNum>
  <w:abstractNum w:abstractNumId="137">
    <w:nsid w:val="6A3B714C"/>
    <w:multiLevelType w:val="hybridMultilevel"/>
    <w:lvl w:ilvl="0">
      <w:lvlJc w:val="left"/>
      <w:lvlText w:val="(%1)"/>
      <w:numFmt w:val="lowerLetter"/>
      <w:start w:val="9"/>
    </w:lvl>
    <w:lvl w:ilvl="1">
      <w:lvlJc w:val="left"/>
      <w:lvlText w:val="(%2)"/>
      <w:numFmt w:val="lowerLetter"/>
      <w:start w:val="5"/>
    </w:lvl>
  </w:abstractNum>
  <w:abstractNum w:abstractNumId="138">
    <w:nsid w:val="327B517E"/>
    <w:multiLevelType w:val="hybridMultilevel"/>
    <w:lvl w:ilvl="0">
      <w:lvlJc w:val="left"/>
      <w:lvlText w:val="(%1)"/>
      <w:numFmt w:val="lowerLetter"/>
      <w:start w:val="6"/>
    </w:lvl>
  </w:abstractNum>
  <w:abstractNum w:abstractNumId="139">
    <w:nsid w:val="1F461B51"/>
    <w:multiLevelType w:val="hybridMultilevel"/>
    <w:lvl w:ilvl="0">
      <w:lvlJc w:val="left"/>
      <w:lvlText w:val="(%1)"/>
      <w:numFmt w:val="lowerLetter"/>
      <w:start w:val="19"/>
    </w:lvl>
  </w:abstractNum>
  <w:abstractNum w:abstractNumId="140">
    <w:nsid w:val="29BACF25"/>
    <w:multiLevelType w:val="hybridMultilevel"/>
    <w:lvl w:ilvl="0">
      <w:lvlJc w:val="left"/>
      <w:lvlText w:val="(%1)"/>
      <w:numFmt w:val="lowerLetter"/>
      <w:start w:val="1"/>
    </w:lvl>
    <w:lvl w:ilvl="1">
      <w:lvlJc w:val="left"/>
      <w:lvlText w:val="(%2)"/>
      <w:numFmt w:val="lowerRoman"/>
      <w:start w:val="1"/>
    </w:lvl>
  </w:abstractNum>
  <w:abstractNum w:abstractNumId="141">
    <w:nsid w:val="5D5BABB3"/>
    <w:multiLevelType w:val="hybridMultilevel"/>
    <w:lvl w:ilvl="0">
      <w:lvlJc w:val="left"/>
      <w:lvlText w:val="(%1)"/>
      <w:numFmt w:val="lowerRoman"/>
      <w:start w:val="4"/>
    </w:lvl>
  </w:abstractNum>
  <w:abstractNum w:abstractNumId="142">
    <w:nsid w:val="51BF6B48"/>
    <w:multiLevelType w:val="hybridMultilevel"/>
    <w:lvl w:ilvl="0">
      <w:lvlJc w:val="left"/>
      <w:lvlText w:val="(%1)"/>
      <w:numFmt w:val="lowerLetter"/>
      <w:start w:val="2"/>
    </w:lvl>
  </w:abstractNum>
  <w:abstractNum w:abstractNumId="143">
    <w:nsid w:val="7E0F6384"/>
    <w:multiLevelType w:val="hybridMultilevel"/>
    <w:lvl w:ilvl="0">
      <w:lvlJc w:val="left"/>
      <w:lvlText w:val="%1"/>
      <w:numFmt w:val="lowerLetter"/>
      <w:start w:val="1"/>
    </w:lvl>
    <w:lvl w:ilvl="1">
      <w:lvlJc w:val="left"/>
      <w:lvlText w:val="(%2)"/>
      <w:numFmt w:val="lowerLetter"/>
      <w:start w:val="1"/>
    </w:lvl>
  </w:abstractNum>
  <w:abstractNum w:abstractNumId="144">
    <w:nsid w:val="2B4B8B53"/>
    <w:multiLevelType w:val="hybridMultilevel"/>
    <w:lvl w:ilvl="0">
      <w:lvlJc w:val="left"/>
      <w:lvlText w:val="(%1)"/>
      <w:numFmt w:val="lowerLetter"/>
      <w:start w:val="35"/>
    </w:lvl>
    <w:lvl w:ilvl="1">
      <w:lvlJc w:val="left"/>
      <w:lvlText w:val="%2"/>
      <w:numFmt w:val="lowerLetter"/>
      <w:start w:val="1"/>
    </w:lvl>
  </w:abstractNum>
  <w:abstractNum w:abstractNumId="145">
    <w:nsid w:val="72E3413A"/>
    <w:multiLevelType w:val="hybridMultilevel"/>
    <w:lvl w:ilvl="0">
      <w:lvlJc w:val="left"/>
      <w:lvlText w:val="(%1)"/>
      <w:numFmt w:val="lowerLetter"/>
      <w:start w:val="5"/>
    </w:lvl>
  </w:abstractNum>
  <w:abstractNum w:abstractNumId="146">
    <w:nsid w:val="116AE494"/>
    <w:multiLevelType w:val="hybridMultilevel"/>
    <w:lvl w:ilvl="0">
      <w:lvlJc w:val="left"/>
      <w:lvlText w:val="(%1)"/>
      <w:numFmt w:val="lowerLetter"/>
      <w:start w:val="19"/>
    </w:lvl>
  </w:abstractNum>
  <w:abstractNum w:abstractNumId="147">
    <w:nsid w:val="3494B2FB"/>
    <w:multiLevelType w:val="hybridMultilevel"/>
    <w:lvl w:ilvl="0">
      <w:lvlJc w:val="left"/>
      <w:lvlText w:val="(%1)"/>
      <w:numFmt w:val="lowerRoman"/>
      <w:start w:val="1"/>
    </w:lvl>
  </w:abstractNum>
  <w:abstractNum w:abstractNumId="148">
    <w:nsid w:val="B13A31"/>
    <w:multiLevelType w:val="hybridMultilevel"/>
    <w:lvl w:ilvl="0">
      <w:lvlJc w:val="left"/>
      <w:lvlText w:val="(%1)"/>
      <w:numFmt w:val="lowerRoman"/>
      <w:start w:val="4"/>
    </w:lvl>
  </w:abstractNum>
  <w:abstractNum w:abstractNumId="149">
    <w:nsid w:val="64429599"/>
    <w:multiLevelType w:val="hybridMultilevel"/>
    <w:lvl w:ilvl="0">
      <w:lvlJc w:val="left"/>
      <w:lvlText w:val="(%1)"/>
      <w:numFmt w:val="upperLetter"/>
      <w:start w:val="1"/>
    </w:lvl>
  </w:abstractNum>
  <w:abstractNum w:abstractNumId="150">
    <w:nsid w:val="631F1690"/>
    <w:multiLevelType w:val="hybridMultilevel"/>
    <w:lvl w:ilvl="0">
      <w:lvlJc w:val="left"/>
      <w:lvlText w:val="(%1)"/>
      <w:numFmt w:val="upperLetter"/>
      <w:start w:val="2"/>
    </w:lvl>
  </w:abstractNum>
  <w:abstractNum w:abstractNumId="151">
    <w:nsid w:val="25973E32"/>
    <w:multiLevelType w:val="hybridMultilevel"/>
    <w:lvl w:ilvl="0">
      <w:lvlJc w:val="left"/>
      <w:lvlText w:val="(%1)"/>
      <w:numFmt w:val="upperLetter"/>
      <w:start w:val="7"/>
    </w:lvl>
  </w:abstractNum>
  <w:abstractNum w:abstractNumId="152">
    <w:nsid w:val="EAD6F57"/>
    <w:multiLevelType w:val="hybridMultilevel"/>
    <w:lvl w:ilvl="0">
      <w:lvlJc w:val="left"/>
      <w:lvlText w:val="(%1)"/>
      <w:numFmt w:val="lowerRoman"/>
      <w:start w:val="11"/>
    </w:lvl>
  </w:abstractNum>
  <w:abstractNum w:abstractNumId="153">
    <w:nsid w:val="6EC9D844"/>
    <w:multiLevelType w:val="hybridMultilevel"/>
    <w:lvl w:ilvl="0">
      <w:lvlJc w:val="left"/>
      <w:lvlText w:val="(%1)"/>
      <w:numFmt w:val="lowerLetter"/>
      <w:start w:val="4"/>
    </w:lvl>
  </w:abstractNum>
  <w:abstractNum w:abstractNumId="154">
    <w:nsid w:val="5C49EAEE"/>
    <w:multiLevelType w:val="hybridMultilevel"/>
    <w:lvl w:ilvl="0">
      <w:lvlJc w:val="left"/>
      <w:lvlText w:val="(%1)"/>
      <w:numFmt w:val="lowerLetter"/>
      <w:start w:val="1"/>
    </w:lvl>
  </w:abstractNum>
  <w:abstractNum w:abstractNumId="155">
    <w:nsid w:val="64AF49B"/>
    <w:multiLevelType w:val="hybridMultilevel"/>
    <w:lvl w:ilvl="0">
      <w:lvlJc w:val="left"/>
      <w:lvlText w:val="%1"/>
      <w:numFmt w:val="lowerLetter"/>
      <w:start w:val="1"/>
    </w:lvl>
    <w:lvl w:ilvl="1">
      <w:lvlJc w:val="left"/>
      <w:lvlText w:val="(%2)"/>
      <w:numFmt w:val="lowerLetter"/>
      <w:start w:val="8"/>
    </w:lvl>
  </w:abstractNum>
  <w:abstractNum w:abstractNumId="156">
    <w:nsid w:val="397C46BC"/>
    <w:multiLevelType w:val="hybridMultilevel"/>
    <w:lvl w:ilvl="0">
      <w:lvlJc w:val="left"/>
      <w:lvlText w:val="(%1)"/>
      <w:numFmt w:val="lowerLetter"/>
      <w:start w:val="9"/>
    </w:lvl>
    <w:lvl w:ilvl="1">
      <w:lvlJc w:val="left"/>
      <w:lvlText w:val="(%2)"/>
      <w:numFmt w:val="lowerLetter"/>
      <w:start w:val="12"/>
    </w:lvl>
  </w:abstractNum>
  <w:abstractNum w:abstractNumId="157">
    <w:nsid w:val="7E448DE9"/>
    <w:multiLevelType w:val="hybridMultilevel"/>
    <w:lvl w:ilvl="0">
      <w:lvlJc w:val="left"/>
      <w:lvlText w:val="(%1)"/>
      <w:numFmt w:val="lowerRoman"/>
      <w:start w:val="2"/>
    </w:lvl>
  </w:abstractNum>
  <w:abstractNum w:abstractNumId="158">
    <w:nsid w:val="5A9CC3E5"/>
    <w:multiLevelType w:val="hybridMultilevel"/>
    <w:lvl w:ilvl="0">
      <w:lvlJc w:val="left"/>
      <w:lvlText w:val="(%1)"/>
      <w:numFmt w:val="lowerLetter"/>
      <w:start w:val="1"/>
    </w:lvl>
  </w:abstractNum>
  <w:abstractNum w:abstractNumId="159">
    <w:nsid w:val="1AFE3625"/>
    <w:multiLevelType w:val="hybridMultilevel"/>
    <w:lvl w:ilvl="0">
      <w:lvlJc w:val="left"/>
      <w:lvlText w:val="(%1)"/>
      <w:numFmt w:val="upperLetter"/>
      <w:start w:val="1"/>
    </w:lvl>
    <w:lvl w:ilvl="1">
      <w:lvlJc w:val="left"/>
      <w:lvlText w:val="(%2)"/>
      <w:numFmt w:val="lowerLetter"/>
      <w:start w:val="4"/>
    </w:lvl>
  </w:abstractNum>
  <w:abstractNum w:abstractNumId="160">
    <w:nsid w:val="3CA88ECF"/>
    <w:multiLevelType w:val="hybridMultilevel"/>
    <w:lvl w:ilvl="0">
      <w:lvlJc w:val="left"/>
      <w:lvlText w:val="(%1)"/>
      <w:numFmt w:val="lowerLetter"/>
      <w:start w:val="1"/>
    </w:lvl>
  </w:abstractNum>
  <w:abstractNum w:abstractNumId="161">
    <w:nsid w:val="6EBE4208"/>
    <w:multiLevelType w:val="hybridMultilevel"/>
    <w:lvl w:ilvl="0">
      <w:lvlJc w:val="left"/>
      <w:lvlText w:val="%1"/>
      <w:numFmt w:val="lowerRoman"/>
      <w:start w:val="1"/>
    </w:lvl>
    <w:lvl w:ilvl="1">
      <w:lvlJc w:val="left"/>
      <w:lvlText w:val="(%2)"/>
      <w:numFmt w:val="lowerLetter"/>
      <w:start w:val="8"/>
    </w:lvl>
  </w:abstractNum>
  <w:abstractNum w:abstractNumId="162">
    <w:nsid w:val="C058DF5"/>
    <w:multiLevelType w:val="hybridMultilevel"/>
    <w:lvl w:ilvl="0">
      <w:lvlJc w:val="left"/>
      <w:lvlText w:val="(%1)"/>
      <w:numFmt w:val="lowerRoman"/>
      <w:start w:val="4"/>
    </w:lvl>
    <w:lvl w:ilvl="1">
      <w:lvlJc w:val="left"/>
      <w:lvlText w:val="(%2)"/>
      <w:numFmt w:val="lowerLetter"/>
      <w:start w:val="10"/>
    </w:lvl>
  </w:abstractNum>
  <w:abstractNum w:abstractNumId="163">
    <w:nsid w:val="CBE5BE9"/>
    <w:multiLevelType w:val="hybridMultilevel"/>
    <w:lvl w:ilvl="0">
      <w:lvlJc w:val="left"/>
      <w:lvlText w:val="(%1)"/>
      <w:numFmt w:val="lowerLetter"/>
      <w:start w:val="1"/>
    </w:lvl>
  </w:abstractNum>
  <w:abstractNum w:abstractNumId="164">
    <w:nsid w:val="3102BBE2"/>
    <w:multiLevelType w:val="hybridMultilevel"/>
    <w:lvl w:ilvl="0">
      <w:lvlJc w:val="left"/>
      <w:lvlText w:val="(%1)"/>
      <w:numFmt w:val="lowerLetter"/>
      <w:start w:val="2"/>
    </w:lvl>
  </w:abstractNum>
  <w:abstractNum w:abstractNumId="165">
    <w:nsid w:val="26A02C5E"/>
    <w:multiLevelType w:val="hybridMultilevel"/>
    <w:lvl w:ilvl="0">
      <w:lvlJc w:val="left"/>
      <w:lvlText w:val="(%1)"/>
      <w:numFmt w:val="lowerLetter"/>
      <w:start w:val="1"/>
    </w:lvl>
  </w:abstractNum>
  <w:abstractNum w:abstractNumId="166">
    <w:nsid w:val="541C8153"/>
    <w:multiLevelType w:val="hybridMultilevel"/>
    <w:lvl w:ilvl="0">
      <w:lvlJc w:val="left"/>
      <w:lvlText w:val="(%1)"/>
      <w:numFmt w:val="lowerLetter"/>
      <w:start w:val="2"/>
    </w:lvl>
  </w:abstractNum>
  <w:abstractNum w:abstractNumId="167">
    <w:nsid w:val="67906F60"/>
    <w:multiLevelType w:val="hybridMultilevel"/>
    <w:lvl w:ilvl="0">
      <w:lvlJc w:val="left"/>
      <w:lvlText w:val="(%1)"/>
      <w:numFmt w:val="lowerLetter"/>
      <w:start w:val="1"/>
    </w:lvl>
  </w:abstractNum>
  <w:abstractNum w:abstractNumId="168">
    <w:nsid w:val="10DB9DAA"/>
    <w:multiLevelType w:val="hybridMultilevel"/>
    <w:lvl w:ilvl="0">
      <w:lvlJc w:val="left"/>
      <w:lvlText w:val="(%1)"/>
      <w:numFmt w:val="lowerLetter"/>
      <w:start w:val="1"/>
    </w:lvl>
  </w:abstractNum>
  <w:abstractNum w:abstractNumId="169">
    <w:nsid w:val="697D2D2"/>
    <w:multiLevelType w:val="hybridMultilevel"/>
    <w:lvl w:ilvl="0">
      <w:lvlJc w:val="left"/>
      <w:lvlText w:val="(%1)"/>
      <w:numFmt w:val="lowerLetter"/>
      <w:start w:val="1"/>
    </w:lvl>
  </w:abstractNum>
  <w:abstractNum w:abstractNumId="170">
    <w:nsid w:val="6D68AB2"/>
    <w:multiLevelType w:val="hybridMultilevel"/>
    <w:lvl w:ilvl="0">
      <w:lvlJc w:val="left"/>
      <w:lvlText w:val="%1"/>
      <w:numFmt w:val="lowerLetter"/>
      <w:start w:val="1"/>
    </w:lvl>
    <w:lvl w:ilvl="1">
      <w:lvlJc w:val="left"/>
      <w:lvlText w:val="(%2)"/>
      <w:numFmt w:val="lowerLetter"/>
      <w:start w:val="1"/>
    </w:lvl>
  </w:abstractNum>
  <w:abstractNum w:abstractNumId="171">
    <w:nsid w:val="3A966CD0"/>
    <w:multiLevelType w:val="hybridMultilevel"/>
    <w:lvl w:ilvl="0">
      <w:lvlJc w:val="left"/>
      <w:lvlText w:val="(%1)"/>
      <w:numFmt w:val="lowerLetter"/>
      <w:start w:val="24"/>
    </w:lvl>
    <w:lvl w:ilvl="1">
      <w:lvlJc w:val="left"/>
      <w:lvlText w:val="%2"/>
      <w:numFmt w:val="lowerLetter"/>
      <w:start w:val="1"/>
    </w:lvl>
  </w:abstractNum>
  <w:abstractNum w:abstractNumId="172">
    <w:nsid w:val="63F37E85"/>
    <w:multiLevelType w:val="hybridMultilevel"/>
    <w:lvl w:ilvl="0">
      <w:lvlJc w:val="left"/>
      <w:lvlText w:val="(%1)"/>
      <w:numFmt w:val="lowerLetter"/>
      <w:start w:val="3"/>
    </w:lvl>
  </w:abstractNum>
  <w:abstractNum w:abstractNumId="173">
    <w:nsid w:val="5895F5FA"/>
    <w:multiLevelType w:val="hybridMultilevel"/>
    <w:lvl w:ilvl="0">
      <w:lvlJc w:val="left"/>
      <w:lvlText w:val="(%1)"/>
      <w:numFmt w:val="lowerLetter"/>
      <w:start w:val="1"/>
    </w:lvl>
    <w:lvl w:ilvl="1">
      <w:lvlJc w:val="left"/>
      <w:lvlText w:val="(%2)"/>
      <w:numFmt w:val="lowerRoman"/>
      <w:start w:val="1"/>
    </w:lvl>
  </w:abstractNum>
  <w:abstractNum w:abstractNumId="174">
    <w:nsid w:val="38A5D054"/>
    <w:multiLevelType w:val="hybridMultilevel"/>
    <w:lvl w:ilvl="0">
      <w:lvlJc w:val="left"/>
      <w:lvlText w:val="(%1)"/>
      <w:numFmt w:val="lowerLetter"/>
      <w:start w:val="4"/>
    </w:lvl>
  </w:abstractNum>
  <w:abstractNum w:abstractNumId="175">
    <w:nsid w:val="F3F09D8"/>
    <w:multiLevelType w:val="hybridMultilevel"/>
    <w:lvl w:ilvl="0">
      <w:lvlJc w:val="left"/>
      <w:lvlText w:val="(%1)"/>
      <w:numFmt w:val="lowerLetter"/>
      <w:start w:val="5"/>
    </w:lvl>
  </w:abstractNum>
  <w:abstractNum w:abstractNumId="176">
    <w:nsid w:val="4B793735"/>
    <w:multiLevelType w:val="hybridMultilevel"/>
    <w:lvl w:ilvl="0">
      <w:lvlJc w:val="left"/>
      <w:lvlText w:val="(%1)"/>
      <w:numFmt w:val="lowerLetter"/>
      <w:start w:val="1"/>
    </w:lvl>
  </w:abstractNum>
  <w:abstractNum w:abstractNumId="177">
    <w:nsid w:val="4A10B4E8"/>
    <w:multiLevelType w:val="hybridMultilevel"/>
    <w:lvl w:ilvl="0">
      <w:lvlJc w:val="left"/>
      <w:lvlText w:val="(%1)"/>
      <w:numFmt w:val="lowerLetter"/>
      <w:start w:val="2"/>
    </w:lvl>
  </w:abstractNum>
  <w:abstractNum w:abstractNumId="178">
    <w:nsid w:val="43D3BCD4"/>
    <w:multiLevelType w:val="hybridMultilevel"/>
    <w:lvl w:ilvl="0">
      <w:lvlJc w:val="left"/>
      <w:lvlText w:val="(%1)"/>
      <w:numFmt w:val="lowerRoman"/>
      <w:start w:val="1"/>
    </w:lvl>
  </w:abstractNum>
  <w:abstractNum w:abstractNumId="179">
    <w:nsid w:val="4C2A7166"/>
    <w:multiLevelType w:val="hybridMultilevel"/>
    <w:lvl w:ilvl="0">
      <w:lvlJc w:val="left"/>
      <w:lvlText w:val="(%1)"/>
      <w:numFmt w:val="lowerLetter"/>
      <w:start w:val="1"/>
    </w:lvl>
  </w:abstractNum>
  <w:abstractNum w:abstractNumId="180">
    <w:nsid w:val="2E534A82"/>
    <w:multiLevelType w:val="hybridMultilevel"/>
    <w:lvl w:ilvl="0">
      <w:lvlJc w:val="left"/>
      <w:lvlText w:val="%1"/>
      <w:numFmt w:val="lowerLetter"/>
      <w:start w:val="1"/>
    </w:lvl>
    <w:lvl w:ilvl="1">
      <w:lvlJc w:val="left"/>
      <w:lvlText w:val="(%2)"/>
      <w:numFmt w:val="lowerRoman"/>
      <w:start w:val="1"/>
    </w:lvl>
  </w:abstractNum>
  <w:abstractNum w:abstractNumId="181">
    <w:nsid w:val="26F2D364"/>
    <w:multiLevelType w:val="hybridMultilevel"/>
    <w:lvl w:ilvl="0">
      <w:lvlJc w:val="left"/>
      <w:lvlText w:val="(%1)"/>
      <w:numFmt w:val="lowerLetter"/>
      <w:start w:val="2"/>
    </w:lvl>
    <w:lvl w:ilvl="1">
      <w:lvlJc w:val="left"/>
      <w:lvlText w:val="%2"/>
      <w:numFmt w:val="lowerRoman"/>
      <w:start w:val="1"/>
    </w:lvl>
  </w:abstractNum>
  <w:abstractNum w:abstractNumId="182">
    <w:nsid w:val="71C1AF98"/>
    <w:multiLevelType w:val="hybridMultilevel"/>
    <w:lvl w:ilvl="0">
      <w:lvlJc w:val="left"/>
      <w:lvlText w:val="%1"/>
      <w:numFmt w:val="lowerLetter"/>
      <w:start w:val="1"/>
    </w:lvl>
    <w:lvl w:ilvl="1">
      <w:lvlJc w:val="left"/>
      <w:lvlText w:val="(%2)"/>
      <w:numFmt w:val="lowerRoman"/>
      <w:start w:val="1"/>
    </w:lvl>
  </w:abstractNum>
  <w:abstractNum w:abstractNumId="183">
    <w:nsid w:val="3D00B9D9"/>
    <w:multiLevelType w:val="hybridMultilevel"/>
    <w:lvl w:ilvl="0">
      <w:lvlJc w:val="left"/>
      <w:lvlText w:val="(%1)"/>
      <w:numFmt w:val="lowerLetter"/>
      <w:start w:val="3"/>
    </w:lvl>
    <w:lvl w:ilvl="1">
      <w:lvlJc w:val="left"/>
      <w:lvlText w:val="%2"/>
      <w:numFmt w:val="lowerRoman"/>
      <w:start w:val="1"/>
    </w:lvl>
  </w:abstractNum>
  <w:abstractNum w:abstractNumId="184">
    <w:nsid w:val="15BCABA8"/>
    <w:multiLevelType w:val="hybridMultilevel"/>
    <w:lvl w:ilvl="0">
      <w:lvlJc w:val="left"/>
      <w:lvlText w:val="(%1)"/>
      <w:numFmt w:val="lowerLetter"/>
      <w:start w:val="5"/>
    </w:lvl>
    <w:lvl w:ilvl="1">
      <w:lvlJc w:val="left"/>
      <w:lvlText w:val="(%2)"/>
      <w:numFmt w:val="lowerLetter"/>
      <w:start w:val="9"/>
    </w:lvl>
  </w:abstractNum>
  <w:abstractNum w:abstractNumId="185">
    <w:nsid w:val="4E0B9A87"/>
    <w:multiLevelType w:val="hybridMultilevel"/>
    <w:lvl w:ilvl="0">
      <w:lvlJc w:val="left"/>
      <w:lvlText w:val="%1"/>
      <w:numFmt w:val="lowerLetter"/>
      <w:start w:val="1"/>
    </w:lvl>
    <w:lvl w:ilvl="1">
      <w:lvlJc w:val="left"/>
      <w:lvlText w:val="(%2)"/>
      <w:numFmt w:val="lowerRoman"/>
      <w:start w:val="2"/>
    </w:lvl>
  </w:abstractNum>
  <w:abstractNum w:abstractNumId="186">
    <w:nsid w:val="434BAE75"/>
    <w:multiLevelType w:val="hybridMultilevel"/>
    <w:lvl w:ilvl="0">
      <w:lvlJc w:val="left"/>
      <w:lvlText w:val="(%1)"/>
      <w:numFmt w:val="lowerLetter"/>
      <w:start w:val="11"/>
    </w:lvl>
    <w:lvl w:ilvl="1">
      <w:lvlJc w:val="left"/>
      <w:lvlText w:val="(%2)"/>
      <w:numFmt w:val="lowerRoman"/>
      <w:start w:val="1"/>
    </w:lvl>
  </w:abstractNum>
  <w:abstractNum w:abstractNumId="187">
    <w:nsid w:val="4F38F265"/>
    <w:multiLevelType w:val="hybridMultilevel"/>
    <w:lvl w:ilvl="0">
      <w:lvlJc w:val="left"/>
      <w:lvlText w:val="(%1)"/>
      <w:numFmt w:val="lowerLetter"/>
      <w:start w:val="1"/>
    </w:lvl>
  </w:abstractNum>
  <w:abstractNum w:abstractNumId="188">
    <w:nsid w:val="4C502870"/>
    <w:multiLevelType w:val="hybridMultilevel"/>
    <w:lvl w:ilvl="0">
      <w:lvlJc w:val="left"/>
      <w:lvlText w:val="(%1)"/>
      <w:numFmt w:val="lowerRoman"/>
      <w:start w:val="3"/>
    </w:lvl>
  </w:abstractNum>
  <w:abstractNum w:abstractNumId="189">
    <w:nsid w:val="1DE8725A"/>
    <w:multiLevelType w:val="hybridMultilevel"/>
    <w:lvl w:ilvl="0">
      <w:lvlJc w:val="left"/>
      <w:lvlText w:val="(%1)"/>
      <w:numFmt w:val="lowerLetter"/>
      <w:start w:val="2"/>
    </w:lvl>
  </w:abstractNum>
  <w:abstractNum w:abstractNumId="190">
    <w:nsid w:val="6A37288A"/>
    <w:multiLevelType w:val="hybridMultilevel"/>
    <w:lvl w:ilvl="0">
      <w:lvlJc w:val="left"/>
      <w:lvlText w:val="%1"/>
      <w:numFmt w:val="lowerLetter"/>
      <w:start w:val="1"/>
    </w:lvl>
    <w:lvl w:ilvl="1">
      <w:lvlJc w:val="left"/>
      <w:lvlText w:val="(%2)"/>
      <w:numFmt w:val="lowerLetter"/>
      <w:start w:val="1"/>
    </w:lvl>
  </w:abstractNum>
  <w:abstractNum w:abstractNumId="191">
    <w:nsid w:val="8F8B73F"/>
    <w:multiLevelType w:val="hybridMultilevel"/>
    <w:lvl w:ilvl="0">
      <w:lvlJc w:val="left"/>
      <w:lvlText w:val="(%1)"/>
      <w:numFmt w:val="lowerLetter"/>
      <w:start w:val="61"/>
    </w:lvl>
    <w:lvl w:ilvl="1">
      <w:lvlJc w:val="left"/>
      <w:lvlText w:val="%2"/>
      <w:numFmt w:val="lowerLetter"/>
      <w:start w:val="1"/>
    </w:lvl>
  </w:abstractNum>
  <w:abstractNum w:abstractNumId="192">
    <w:nsid w:val="CA6B462"/>
    <w:multiLevelType w:val="hybridMultilevel"/>
    <w:lvl w:ilvl="0">
      <w:lvlJc w:val="left"/>
      <w:lvlText w:val="(%1)"/>
      <w:numFmt w:val="lowerLetter"/>
      <w:start w:val="3"/>
    </w:lvl>
  </w:abstractNum>
  <w:abstractNum w:abstractNumId="193">
    <w:nsid w:val="763CB680"/>
    <w:multiLevelType w:val="hybridMultilevel"/>
    <w:lvl w:ilvl="0">
      <w:lvlJc w:val="left"/>
      <w:lvlText w:val="(%1)"/>
      <w:numFmt w:val="lowerLetter"/>
      <w:start w:val="1"/>
    </w:lvl>
  </w:abstractNum>
  <w:abstractNum w:abstractNumId="194">
    <w:nsid w:val="15B71329"/>
    <w:multiLevelType w:val="hybridMultilevel"/>
    <w:lvl w:ilvl="0">
      <w:lvlJc w:val="left"/>
      <w:lvlText w:val="(%1)"/>
      <w:numFmt w:val="lowerLetter"/>
      <w:start w:val="3"/>
    </w:lvl>
  </w:abstractNum>
  <w:abstractNum w:abstractNumId="195">
    <w:nsid w:val="3DA97044"/>
    <w:multiLevelType w:val="hybridMultilevel"/>
    <w:lvl w:ilvl="0">
      <w:lvlJc w:val="left"/>
      <w:lvlText w:val="(%1)"/>
      <w:numFmt w:val="lowerLetter"/>
      <w:start w:val="5"/>
    </w:lvl>
  </w:abstractNum>
  <w:abstractNum w:abstractNumId="196">
    <w:nsid w:val="1CDCE2DE"/>
    <w:multiLevelType w:val="hybridMultilevel"/>
    <w:lvl w:ilvl="0">
      <w:lvlJc w:val="left"/>
      <w:lvlText w:val="(%1)"/>
      <w:numFmt w:val="lowerLetter"/>
      <w:start w:val="1"/>
    </w:lvl>
    <w:lvl w:ilvl="1">
      <w:lvlJc w:val="left"/>
      <w:lvlText w:val="(%2)"/>
      <w:numFmt w:val="upperLetter"/>
      <w:start w:val="1"/>
    </w:lvl>
  </w:abstractNum>
  <w:abstractNum w:abstractNumId="197">
    <w:nsid w:val="69D3947C"/>
    <w:multiLevelType w:val="hybridMultilevel"/>
    <w:lvl w:ilvl="0">
      <w:lvlJc w:val="left"/>
      <w:lvlText w:val="(%1)"/>
      <w:numFmt w:val="upperLetter"/>
      <w:start w:val="1"/>
    </w:lvl>
  </w:abstractNum>
  <w:abstractNum w:abstractNumId="198">
    <w:nsid w:val="2539DFA5"/>
    <w:multiLevelType w:val="hybridMultilevel"/>
    <w:lvl w:ilvl="0">
      <w:lvlJc w:val="left"/>
      <w:lvlText w:val="(%1)"/>
      <w:numFmt w:val="upperLetter"/>
      <w:start w:val="2"/>
    </w:lvl>
  </w:abstractNum>
  <w:abstractNum w:abstractNumId="199">
    <w:nsid w:val="2DB88089"/>
    <w:multiLevelType w:val="hybridMultilevel"/>
    <w:lvl w:ilvl="0">
      <w:lvlJc w:val="left"/>
      <w:lvlText w:val="%1"/>
      <w:numFmt w:val="lowerLetter"/>
      <w:start w:val="1"/>
    </w:lvl>
    <w:lvl w:ilvl="1">
      <w:lvlJc w:val="left"/>
      <w:lvlText w:val="(%2)"/>
      <w:numFmt w:val="lowerRoman"/>
      <w:start w:val="3"/>
    </w:lvl>
  </w:abstractNum>
  <w:abstractNum w:abstractNumId="200">
    <w:nsid w:val="706B674E"/>
    <w:multiLevelType w:val="hybridMultilevel"/>
    <w:lvl w:ilvl="0">
      <w:lvlJc w:val="left"/>
      <w:lvlText w:val="(%1)"/>
      <w:numFmt w:val="lowerLetter"/>
      <w:start w:val="3"/>
    </w:lvl>
    <w:lvl w:ilvl="1">
      <w:lvlJc w:val="left"/>
      <w:lvlText w:val="%2"/>
      <w:numFmt w:val="lowerRoman"/>
      <w:start w:val="1"/>
    </w:lvl>
  </w:abstractNum>
  <w:abstractNum w:abstractNumId="201">
    <w:nsid w:val="2C106A57"/>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2"/>
    </w:lvl>
  </w:abstractNum>
  <w:abstractNum w:abstractNumId="202">
    <w:nsid w:val="684EED59"/>
    <w:multiLevelType w:val="hybridMultilevel"/>
    <w:lvl w:ilvl="0">
      <w:lvlJc w:val="left"/>
      <w:lvlText w:val="%1"/>
      <w:numFmt w:val="lowerLetter"/>
      <w:start w:val="1"/>
    </w:lvl>
    <w:lvl w:ilvl="1">
      <w:lvlJc w:val="left"/>
      <w:lvlText w:val="(%2)"/>
      <w:numFmt w:val="lowerLetter"/>
      <w:start w:val="1"/>
    </w:lvl>
  </w:abstractNum>
  <w:abstractNum w:abstractNumId="203">
    <w:nsid w:val="545EE5D3"/>
    <w:multiLevelType w:val="hybridMultilevel"/>
    <w:lvl w:ilvl="0">
      <w:lvlJc w:val="left"/>
      <w:lvlText w:val="(%1)"/>
      <w:numFmt w:val="lowerLetter"/>
      <w:start w:val="26"/>
    </w:lvl>
    <w:lvl w:ilvl="1">
      <w:lvlJc w:val="left"/>
      <w:lvlText w:val="%2"/>
      <w:numFmt w:val="lowerLetter"/>
      <w:start w:val="1"/>
    </w:lvl>
  </w:abstractNum>
  <w:abstractNum w:abstractNumId="204">
    <w:nsid w:val="4A66051"/>
    <w:multiLevelType w:val="hybridMultilevel"/>
    <w:lvl w:ilvl="0">
      <w:lvlJc w:val="left"/>
      <w:lvlText w:val="(%1)"/>
      <w:numFmt w:val="lowerLetter"/>
      <w:start w:val="1"/>
    </w:lvl>
  </w:abstractNum>
  <w:abstractNum w:abstractNumId="205">
    <w:nsid w:val="20F4BDAD"/>
    <w:multiLevelType w:val="hybridMultilevel"/>
    <w:lvl w:ilvl="0">
      <w:lvlJc w:val="left"/>
      <w:lvlText w:val="(%1)"/>
      <w:numFmt w:val="lowerLetter"/>
      <w:start w:val="1"/>
    </w:lvl>
  </w:abstractNum>
  <w:abstractNum w:abstractNumId="206">
    <w:nsid w:val="639DEFAC"/>
    <w:multiLevelType w:val="hybridMultilevel"/>
    <w:lvl w:ilvl="0">
      <w:lvlJc w:val="left"/>
      <w:lvlText w:val="(%1)"/>
      <w:numFmt w:val="lowerLetter"/>
      <w:start w:val="3"/>
    </w:lvl>
  </w:abstractNum>
  <w:abstractNum w:abstractNumId="207">
    <w:nsid w:val="501F9786"/>
    <w:multiLevelType w:val="hybridMultilevel"/>
    <w:lvl w:ilvl="0">
      <w:lvlJc w:val="left"/>
      <w:lvlText w:val="(%1)"/>
      <w:numFmt w:val="lowerRoman"/>
      <w:start w:val="3"/>
    </w:lvl>
  </w:abstractNum>
  <w:abstractNum w:abstractNumId="208">
    <w:nsid w:val="6B057295"/>
    <w:multiLevelType w:val="hybridMultilevel"/>
    <w:lvl w:ilvl="0">
      <w:lvlJc w:val="left"/>
      <w:lvlText w:val="(%1)"/>
      <w:numFmt w:val="lowerLetter"/>
      <w:start w:val="1"/>
    </w:lvl>
  </w:abstractNum>
  <w:abstractNum w:abstractNumId="209">
    <w:nsid w:val="2771AC80"/>
    <w:multiLevelType w:val="hybridMultilevel"/>
    <w:lvl w:ilvl="0">
      <w:lvlJc w:val="left"/>
      <w:lvlText w:val="(%1)"/>
      <w:numFmt w:val="lowerLetter"/>
      <w:start w:val="3"/>
    </w:lvl>
  </w:abstractNum>
  <w:abstractNum w:abstractNumId="210">
    <w:nsid w:val="1C4A08EC"/>
    <w:multiLevelType w:val="hybridMultilevel"/>
    <w:lvl w:ilvl="0">
      <w:lvlJc w:val="left"/>
      <w:lvlText w:val="(%1)"/>
      <w:numFmt w:val="lowerLetter"/>
      <w:start w:val="1"/>
    </w:lvl>
    <w:lvl w:ilvl="1">
      <w:lvlJc w:val="left"/>
      <w:lvlText w:val="(%2)"/>
      <w:numFmt w:val="lowerRoman"/>
      <w:start w:val="1"/>
    </w:lvl>
  </w:abstractNum>
  <w:abstractNum w:abstractNumId="211">
    <w:nsid w:val="1958BD17"/>
    <w:multiLevelType w:val="hybridMultilevel"/>
    <w:lvl w:ilvl="0">
      <w:lvlJc w:val="left"/>
      <w:lvlText w:val="(%1)"/>
      <w:numFmt w:val="lowerLetter"/>
      <w:start w:val="1"/>
    </w:lvl>
  </w:abstractNum>
  <w:abstractNum w:abstractNumId="212">
    <w:nsid w:val="4E647FE4"/>
    <w:multiLevelType w:val="hybridMultilevel"/>
    <w:lvl w:ilvl="0">
      <w:lvlJc w:val="left"/>
      <w:lvlText w:val="(%1)"/>
      <w:numFmt w:val="lowerLetter"/>
      <w:start w:val="4"/>
    </w:lvl>
  </w:abstractNum>
  <w:abstractNum w:abstractNumId="213">
    <w:nsid w:val="E0BB885"/>
    <w:multiLevelType w:val="hybridMultilevel"/>
    <w:lvl w:ilvl="0">
      <w:lvlJc w:val="left"/>
      <w:lvlText w:val="(%1)"/>
      <w:numFmt w:val="lowerLetter"/>
      <w:start w:val="1"/>
    </w:lvl>
  </w:abstractNum>
  <w:abstractNum w:abstractNumId="214">
    <w:nsid w:val="565976F1"/>
    <w:multiLevelType w:val="hybridMultilevel"/>
    <w:lvl w:ilvl="0">
      <w:lvlJc w:val="left"/>
      <w:lvlText w:val="(%1)"/>
      <w:numFmt w:val="lowerLetter"/>
      <w:start w:val="1"/>
    </w:lvl>
  </w:abstractNum>
  <w:abstractNum w:abstractNumId="215">
    <w:nsid w:val="64212B8C"/>
    <w:multiLevelType w:val="hybridMultilevel"/>
    <w:lvl w:ilvl="0">
      <w:lvlJc w:val="left"/>
      <w:lvlText w:val="(%1)"/>
      <w:numFmt w:val="lowerLetter"/>
      <w:start w:val="2"/>
    </w:lvl>
  </w:abstractNum>
  <w:abstractNum w:abstractNumId="216">
    <w:nsid w:val="5C17530C"/>
    <w:multiLevelType w:val="hybridMultilevel"/>
    <w:lvl w:ilvl="0">
      <w:lvlJc w:val="left"/>
      <w:lvlText w:val="%1."/>
      <w:numFmt w:val="decimal"/>
      <w:start w:val="1"/>
    </w:lvl>
  </w:abstractNum>
  <w:abstractNum w:abstractNumId="217">
    <w:nsid w:val="19A52566"/>
    <w:multiLevelType w:val="hybridMultilevel"/>
    <w:lvl w:ilvl="0">
      <w:lvlJc w:val="left"/>
      <w:lvlText w:val="%1."/>
      <w:numFmt w:val="decimal"/>
      <w:start w:val="3"/>
    </w:lvl>
    <w:lvl w:ilvl="1">
      <w:lvlJc w:val="left"/>
      <w:lvlText w:val="(%2)"/>
      <w:numFmt w:val="lowerLetter"/>
      <w:start w:val="1"/>
    </w:lvl>
  </w:abstractNum>
  <w:abstractNum w:abstractNumId="218">
    <w:nsid w:val="335A1DF1"/>
    <w:multiLevelType w:val="hybridMultilevel"/>
    <w:lvl w:ilvl="0">
      <w:lvlJc w:val="left"/>
      <w:lvlText w:val="%1."/>
      <w:numFmt w:val="decimal"/>
      <w:start w:val="4"/>
    </w:lvl>
    <w:lvl w:ilvl="1">
      <w:lvlJc w:val="left"/>
      <w:lvlText w:val="(%2)"/>
      <w:numFmt w:val="lowerLetter"/>
      <w:start w:val="1"/>
    </w:lvl>
  </w:abstractNum>
  <w:abstractNum w:abstractNumId="219">
    <w:nsid w:val="28677B7C"/>
    <w:multiLevelType w:val="hybridMultilevel"/>
    <w:lvl w:ilvl="0">
      <w:lvlJc w:val="left"/>
      <w:lvlText w:val="%1"/>
      <w:numFmt w:val="decimal"/>
      <w:start w:val="1"/>
    </w:lvl>
    <w:lvl w:ilvl="1">
      <w:lvlJc w:val="left"/>
      <w:lvlText w:val="(%2)"/>
      <w:numFmt w:val="lowerLetter"/>
      <w:start w:val="3"/>
    </w:lvl>
  </w:abstractNum>
  <w:abstractNum w:abstractNumId="220">
    <w:nsid w:val="378D97C0"/>
    <w:multiLevelType w:val="hybridMultilevel"/>
    <w:lvl w:ilvl="0">
      <w:lvlJc w:val="left"/>
      <w:lvlText w:val="%1."/>
      <w:numFmt w:val="decimal"/>
      <w:start w:val="6"/>
    </w:lvl>
    <w:lvl w:ilvl="1">
      <w:lvlJc w:val="left"/>
      <w:lvlText w:val="(%2)"/>
      <w:numFmt w:val="lowerLetter"/>
      <w:start w:val="1"/>
    </w:lvl>
  </w:abstractNum>
  <w:abstractNum w:abstractNumId="221">
    <w:nsid w:val="1D91467C"/>
    <w:multiLevelType w:val="hybridMultilevel"/>
    <w:lvl w:ilvl="0">
      <w:lvlJc w:val="left"/>
      <w:lvlText w:val="%1."/>
      <w:numFmt w:val="decimal"/>
      <w:start w:val="1"/>
    </w:lvl>
    <w:lvl w:ilvl="1">
      <w:lvlJc w:val="left"/>
      <w:lvlText w:val="(%2)"/>
      <w:numFmt w:val="lowerLetter"/>
      <w:start w:val="1"/>
    </w:lvl>
  </w:abstractNum>
  <w:abstractNum w:abstractNumId="222">
    <w:nsid w:val="316032BB"/>
    <w:multiLevelType w:val="hybridMultilevel"/>
    <w:lvl w:ilvl="0">
      <w:lvlJc w:val="left"/>
      <w:lvlText w:val="%1."/>
      <w:numFmt w:val="decimal"/>
      <w:start w:val="1"/>
    </w:lvl>
    <w:lvl w:ilvl="1">
      <w:lvlJc w:val="left"/>
      <w:lvlText w:val="(%2)"/>
      <w:numFmt w:val="lowerLetter"/>
      <w:start w:val="1"/>
    </w:lvl>
  </w:abstractNum>
  <w:abstractNum w:abstractNumId="223">
    <w:nsid w:val="44344C22"/>
    <w:multiLevelType w:val="hybridMultilevel"/>
    <w:lvl w:ilvl="0">
      <w:lvlJc w:val="left"/>
      <w:lvlText w:val="%1."/>
      <w:numFmt w:val="decimal"/>
      <w:start w:val="1"/>
    </w:lvl>
  </w:abstractNum>
  <w:abstractNum w:abstractNumId="224">
    <w:nsid w:val="13CDFC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88" Type="http://schemas.openxmlformats.org/officeDocument/2006/relationships/hyperlink" Target="https://www.sec.gov/Archives/edgar/data/0001868941/000110465921133771/tm2120236d16_ex3-1.htm" TargetMode="External"/><Relationship Id="rId89" Type="http://schemas.openxmlformats.org/officeDocument/2006/relationships/hyperlink" Target="https://www.sec.gov/Archives/edgar/data/1868941/000186894122000124/fluence-charteramendmentop.htm" TargetMode="External"/><Relationship Id="rId90" Type="http://schemas.openxmlformats.org/officeDocument/2006/relationships/hyperlink" Target="https://www.sec.gov/Archives/edgar/data/0001868941/000110465921133771/tm2120236d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2023-08-10T15:17:05Z</dcterms:created>
  <dcterms:modified xsi:type="dcterms:W3CDTF">2023-08-10T15:17:05Z</dcterms:modified>
</cp:coreProperties>
</file>