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001-40978</w:t>
      </w:r>
    </w:p>
    <w:p>
      <w:pPr>
        <w:pStyle w:val="TextBody"/>
        <w:spacing w:lineRule="auto" w:line="288" w:before="120" w:after="283"/>
        <w:jc w:val="center"/>
        <w:rPr>
          <w:rFonts w:ascii="Times New Roman;sans-serif" w:hAnsi="Times New Roman;sans-serif"/>
          <w:b/>
          <w:color w:val="000000"/>
          <w:sz w:val="36"/>
          <w:highlight w:val="white"/>
        </w:rPr>
      </w:pPr>
      <w:r>
        <w:rPr>
          <w:rFonts w:ascii="Times New Roman;sans-serif" w:hAnsi="Times New Roman;sans-serif"/>
          <w:b/>
          <w:color w:val="000000"/>
          <w:sz w:val="36"/>
          <w:highlight w:val="white"/>
        </w:rPr>
        <w:t>Fluence Energy,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before="100" w:after="283"/>
        <w:jc w:val="center"/>
        <w:rPr/>
      </w:pPr>
      <w:r>
        <w:rPr/>
      </w:r>
    </w:p>
    <w:tbl>
      <w:tblPr>
        <w:tblW w:w="4469" w:type="dxa"/>
        <w:jc w:val="left"/>
        <w:tblInd w:w="0" w:type="dxa"/>
        <w:tblCellMar>
          <w:top w:w="28" w:type="dxa"/>
          <w:left w:w="28" w:type="dxa"/>
          <w:bottom w:w="28" w:type="dxa"/>
          <w:right w:w="28" w:type="dxa"/>
        </w:tblCellMar>
      </w:tblPr>
      <w:tblGrid>
        <w:gridCol w:w="1089"/>
        <w:gridCol w:w="958"/>
        <w:gridCol w:w="967"/>
        <w:gridCol w:w="424"/>
        <w:gridCol w:w="424"/>
        <w:gridCol w:w="607"/>
      </w:tblGrid>
      <w:tr>
        <w:trPr/>
        <w:tc>
          <w:tcPr>
            <w:tcW w:w="1089"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5" w:type="dxa"/>
            <w:gridSpan w:val="3"/>
            <w:tcBorders/>
            <w:shd w:fill="auto" w:val="clear"/>
            <w:tcMar>
              <w:top w:w="0" w:type="dxa"/>
              <w:left w:w="0" w:type="dxa"/>
              <w:bottom w:w="0" w:type="dxa"/>
              <w:right w:w="0" w:type="dxa"/>
            </w:tcMar>
            <w:vAlign w:val="center"/>
          </w:tcPr>
          <w:p>
            <w:pPr>
              <w:pStyle w:val="TableContents"/>
              <w:spacing w:lineRule="auto" w:line="163" w:before="0" w:after="0"/>
              <w:jc w:val="center"/>
              <w:rPr>
                <w:rFonts w:ascii="Times New Roman;sans-serif" w:hAnsi="Times New Roman;sans-serif"/>
                <w:b/>
                <w:color w:val="000000"/>
                <w:sz w:val="18"/>
              </w:rPr>
            </w:pPr>
            <w:r>
              <w:rPr>
                <w:rFonts w:ascii="Times New Roman;sans-serif" w:hAnsi="Times New Roman;sans-serif"/>
                <w:b/>
                <w:color w:val="000000"/>
                <w:sz w:val="18"/>
              </w:rPr>
              <w:t>87-1304612</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4601 Fairfax Drive, Suite 600</w:t>
            </w:r>
          </w:p>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Arlington, Virginia</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22203</w:t>
            </w:r>
          </w:p>
        </w:tc>
      </w:tr>
      <w:tr>
        <w:trPr/>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40" w:after="4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(833) 358-3623</w:t>
      </w:r>
    </w:p>
    <w:p>
      <w:pPr>
        <w:pStyle w:val="TextBody"/>
        <w:spacing w:lineRule="auto" w:line="288" w:before="0" w:after="10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88" w:before="0" w:after="10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Act: </w:t>
      </w:r>
    </w:p>
    <w:tbl>
      <w:tblPr>
        <w:tblW w:w="8263" w:type="dxa"/>
        <w:jc w:val="left"/>
        <w:tblInd w:w="0" w:type="dxa"/>
        <w:tblCellMar>
          <w:top w:w="28" w:type="dxa"/>
          <w:left w:w="28" w:type="dxa"/>
          <w:bottom w:w="28" w:type="dxa"/>
          <w:right w:w="28" w:type="dxa"/>
        </w:tblCellMar>
      </w:tblPr>
      <w:tblGrid>
        <w:gridCol w:w="1166"/>
        <w:gridCol w:w="1026"/>
        <w:gridCol w:w="1033"/>
        <w:gridCol w:w="519"/>
        <w:gridCol w:w="519"/>
        <w:gridCol w:w="521"/>
        <w:gridCol w:w="1019"/>
        <w:gridCol w:w="1019"/>
        <w:gridCol w:w="1441"/>
      </w:tblGrid>
      <w:tr>
        <w:trPr/>
        <w:tc>
          <w:tcPr>
            <w:tcW w:w="116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22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$0.00001 par value</w:t>
            </w:r>
          </w:p>
        </w:tc>
        <w:tc>
          <w:tcPr>
            <w:tcW w:w="155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FLNC</w:t>
            </w:r>
          </w:p>
        </w:tc>
        <w:tc>
          <w:tcPr>
            <w:tcW w:w="347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jc w:val="center"/>
              <w:rPr>
                <w:rFonts w:ascii="Times New Roman;sans-serif" w:hAnsi="Times New Roman;sans-serif"/>
                <w:b w:val="false"/>
                <w:color w:val="0D0D0D"/>
                <w:sz w:val="18"/>
              </w:rPr>
            </w:pPr>
            <w:r>
              <w:rPr>
                <w:rFonts w:ascii="Times New Roman;sans-serif" w:hAnsi="Times New Roman;sans-serif"/>
                <w:b w:val="false"/>
                <w:color w:val="0D0D0D"/>
                <w:sz w:val="18"/>
              </w:rPr>
              <w:t>The Nasdaq Global Select Market</w:t>
            </w:r>
          </w:p>
        </w:tc>
      </w:tr>
    </w:tbl>
    <w:p>
      <w:pPr>
        <w:pStyle w:val="TextBody"/>
        <w:spacing w:lineRule="auto" w:line="288" w:before="0" w:after="100"/>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8"/>
        </w:rPr>
        <w:t>Yes</w:t>
      </w:r>
      <w:r>
        <w:rPr>
          <w:color w:val="000000"/>
        </w:rPr>
        <w:t xml:space="preserve">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No</w:t>
      </w:r>
      <w:r>
        <w:rPr>
          <w:color w:val="000000"/>
        </w:rPr>
        <w:t xml:space="preserve"> </w:t>
      </w:r>
      <w:r>
        <w:rPr>
          <w:rFonts w:ascii="Wingdings;sans-serif" w:hAnsi="Wingdings;sans-serif"/>
          <w:b w:val="false"/>
          <w:color w:val="000000"/>
          <w:sz w:val="20"/>
        </w:rPr>
        <w:t>o</w:t>
      </w:r>
    </w:p>
    <w:p>
      <w:pPr>
        <w:pStyle w:val="TextBody"/>
        <w:spacing w:lineRule="auto" w:line="288" w:before="120" w:after="283"/>
        <w:rPr/>
      </w:pPr>
      <w:r>
        <w:rPr>
          <w:rFonts w:ascii="Times New Roman;sans-serif" w:hAnsi="Times New Roman;sans-serif"/>
          <w:b w:val="false"/>
          <w:color w:val="000000"/>
          <w:sz w:val="18"/>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w:t>
      </w:r>
      <w:r>
        <w:rPr>
          <w:color w:val="000000"/>
        </w:rPr>
        <w:t>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18"/>
        </w:rPr>
        <w:t>No</w:t>
      </w:r>
      <w:r>
        <w:rPr>
          <w:color w:val="000000"/>
        </w:rPr>
        <w:t> </w:t>
      </w:r>
      <w:r>
        <w:rPr>
          <w:rFonts w:ascii="Wingdings;sans-serif" w:hAnsi="Wingdings;sans-serif"/>
          <w:b w:val="false"/>
          <w:color w:val="000000"/>
          <w:sz w:val="20"/>
        </w:rPr>
        <w:t>o</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4" w:type="dxa"/>
        <w:jc w:val="left"/>
        <w:tblInd w:w="0" w:type="dxa"/>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04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spacing w:lineRule="auto" w:line="288" w:before="120" w:after="283"/>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TextBody"/>
        <w:spacing w:lineRule="auto" w:line="288" w:before="120" w:after="283"/>
        <w:rPr/>
      </w:pPr>
      <w:r>
        <w:rPr>
          <w:rFonts w:ascii="Times New Roman;sans-serif" w:hAnsi="Times New Roman;sans-serif"/>
          <w:b w:val="false"/>
          <w:color w:val="000000"/>
          <w:sz w:val="18"/>
        </w:rPr>
        <w:t xml:space="preserve">Indicate by check mark whether the registrant is a shell company (as defined in Rule 12b-2 of the Act). </w:t>
      </w: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120" w:after="283"/>
        <w:rPr/>
      </w:pPr>
      <w:r>
        <w:rPr>
          <w:rFonts w:ascii="Times New Roman;sans-serif" w:hAnsi="Times New Roman;sans-serif"/>
          <w:b w:val="false"/>
          <w:color w:val="000000"/>
          <w:sz w:val="18"/>
        </w:rPr>
        <w:t>As of May 12, 2022, the registrant had</w:t>
      </w:r>
      <w:r>
        <w:rPr>
          <w:color w:val="EE2724"/>
        </w:rPr>
        <w:t xml:space="preserve"> </w:t>
      </w:r>
      <w:r>
        <w:rPr>
          <w:rFonts w:ascii="Times New Roman;sans-serif" w:hAnsi="Times New Roman;sans-serif"/>
          <w:b w:val="false"/>
          <w:color w:val="000000"/>
          <w:sz w:val="18"/>
        </w:rPr>
        <w:t>55,170,050</w:t>
      </w:r>
      <w:r>
        <w:rPr>
          <w:color w:val="EE2724"/>
        </w:rPr>
        <w:t xml:space="preserve"> </w:t>
      </w:r>
      <w:r>
        <w:rPr>
          <w:rFonts w:ascii="Times New Roman;sans-serif" w:hAnsi="Times New Roman;sans-serif"/>
          <w:b w:val="false"/>
          <w:color w:val="000000"/>
          <w:sz w:val="18"/>
        </w:rPr>
        <w:t>shares of Class A common stock outstanding and 117,173,390 shares of Class B-1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453"/>
        <w:gridCol w:w="398"/>
        <w:gridCol w:w="398"/>
        <w:gridCol w:w="2827"/>
        <w:gridCol w:w="2775"/>
        <w:gridCol w:w="2780"/>
        <w:gridCol w:w="167"/>
        <w:gridCol w:w="167"/>
        <w:gridCol w:w="240"/>
      </w:tblGrid>
      <w:tr>
        <w:trPr/>
        <w:tc>
          <w:tcPr>
            <w:tcW w:w="453"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827" w:type="dxa"/>
            <w:tcBorders/>
            <w:shd w:fill="auto" w:val="clear"/>
            <w:vAlign w:val="center"/>
          </w:tcPr>
          <w:p>
            <w:pPr>
              <w:pStyle w:val="TableContents"/>
              <w:spacing w:before="0" w:after="283"/>
              <w:rPr>
                <w:sz w:val="4"/>
                <w:szCs w:val="4"/>
              </w:rPr>
            </w:pPr>
            <w:r>
              <w:rPr>
                <w:sz w:val="4"/>
                <w:szCs w:val="4"/>
              </w:rPr>
            </w:r>
          </w:p>
        </w:tc>
        <w:tc>
          <w:tcPr>
            <w:tcW w:w="2775" w:type="dxa"/>
            <w:tcBorders/>
            <w:shd w:fill="auto" w:val="clear"/>
            <w:vAlign w:val="center"/>
          </w:tcPr>
          <w:p>
            <w:pPr>
              <w:pStyle w:val="TableContents"/>
              <w:spacing w:before="0" w:after="283"/>
              <w:rPr>
                <w:sz w:val="4"/>
                <w:szCs w:val="4"/>
              </w:rPr>
            </w:pPr>
            <w:r>
              <w:rPr>
                <w:sz w:val="4"/>
                <w:szCs w:val="4"/>
              </w:rPr>
            </w:r>
          </w:p>
        </w:tc>
        <w:tc>
          <w:tcPr>
            <w:tcW w:w="278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1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1"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0">
              <w:r>
                <w:rPr>
                  <w:rStyle w:val="InternetLink"/>
                  <w:rFonts w:ascii="Times New Roman;sans-serif" w:hAnsi="Times New Roman;sans-serif"/>
                  <w:b/>
                  <w:color w:val="0000EE"/>
                  <w:sz w:val="20"/>
                  <w:u w:val="single"/>
                </w:rPr>
                <w:t>Part I - Financial Information</w:t>
              </w:r>
            </w:hyperlink>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hyperlink w:anchor="ide5608f430074a14a62a1012eb0b17f1_10">
              <w:r>
                <w:rPr>
                  <w:rStyle w:val="InternetLink"/>
                  <w:rFonts w:ascii="Times New Roman;sans-serif" w:hAnsi="Times New Roman;sans-serif"/>
                  <w:b w:val="false"/>
                  <w:color w:val="000000"/>
                  <w:sz w:val="20"/>
                  <w:u w:val="single"/>
                </w:rPr>
                <w:t>5</w:t>
              </w:r>
            </w:hyperlink>
          </w:p>
        </w:tc>
      </w:tr>
      <w:tr>
        <w:trPr/>
        <w:tc>
          <w:tcPr>
            <w:tcW w:w="12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
              <w:r>
                <w:rPr>
                  <w:rStyle w:val="InternetLink"/>
                  <w:rFonts w:ascii="Times New Roman;sans-serif" w:hAnsi="Times New Roman;sans-serif"/>
                  <w:b w:val="false"/>
                  <w:color w:val="0000EE"/>
                  <w:sz w:val="20"/>
                  <w:u w:val="single"/>
                </w:rPr>
                <w:t>Item 1.</w:t>
              </w:r>
            </w:hyperlink>
          </w:p>
        </w:tc>
        <w:tc>
          <w:tcPr>
            <w:tcW w:w="83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
              <w:r>
                <w:rPr>
                  <w:rStyle w:val="InternetLink"/>
                </w:rPr>
                <w:t>Financial Statements</w:t>
              </w:r>
            </w:hyperlink>
            <w:r>
              <w:rPr>
                <w:rFonts w:ascii="Times New Roman;sans-serif" w:hAnsi="Times New Roman;sans-serif"/>
                <w:b w:val="false"/>
                <w:color w:val="0000EE"/>
                <w:sz w:val="20"/>
                <w:u w:val="single"/>
              </w:rPr>
              <w:t xml:space="preserve"> (Unaudited)</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3">
              <w:r>
                <w:rPr>
                  <w:rStyle w:val="InternetLink"/>
                  <w:rFonts w:ascii="Times New Roman;sans-serif" w:hAnsi="Times New Roman;sans-serif"/>
                  <w:b w:val="false"/>
                  <w:color w:val="0000EE"/>
                  <w:sz w:val="20"/>
                  <w:u w:val="single"/>
                </w:rPr>
                <w:t>5</w:t>
              </w:r>
            </w:hyperlink>
          </w:p>
        </w:tc>
      </w:tr>
      <w:tr>
        <w:trPr/>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6">
              <w:r>
                <w:rPr>
                  <w:rStyle w:val="InternetLink"/>
                  <w:rFonts w:ascii="Times New Roman;sans-serif" w:hAnsi="Times New Roman;sans-serif"/>
                  <w:b w:val="false"/>
                  <w:color w:val="0000FF"/>
                  <w:sz w:val="20"/>
                  <w:u w:val="single"/>
                </w:rPr>
                <w:t>Condensed Consolidated Balance Sheets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6">
              <w:r>
                <w:rPr>
                  <w:rStyle w:val="InternetLink"/>
                  <w:rFonts w:ascii="Times New Roman;sans-serif" w:hAnsi="Times New Roman;sans-serif"/>
                  <w:b w:val="false"/>
                  <w:color w:val="0000EE"/>
                  <w:sz w:val="20"/>
                  <w:u w:val="single"/>
                </w:rPr>
                <w:t>5</w:t>
              </w:r>
            </w:hyperlink>
          </w:p>
        </w:tc>
      </w:tr>
      <w:tr>
        <w:trPr/>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9">
              <w:r>
                <w:rPr>
                  <w:rStyle w:val="InternetLink"/>
                  <w:rFonts w:ascii="Times New Roman;sans-serif" w:hAnsi="Times New Roman;sans-serif"/>
                  <w:b w:val="false"/>
                  <w:color w:val="0000FF"/>
                  <w:sz w:val="20"/>
                  <w:u w:val="single"/>
                </w:rPr>
                <w:t>Condensed Consolidated Statements of Operations and Comprehensive Loss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9">
              <w:r>
                <w:rPr>
                  <w:rStyle w:val="InternetLink"/>
                  <w:rFonts w:ascii="Times New Roman;sans-serif" w:hAnsi="Times New Roman;sans-serif"/>
                  <w:b w:val="false"/>
                  <w:color w:val="0000EE"/>
                  <w:sz w:val="20"/>
                  <w:u w:val="single"/>
                </w:rPr>
                <w:t>6</w:t>
              </w:r>
            </w:hyperlink>
          </w:p>
        </w:tc>
      </w:tr>
      <w:tr>
        <w:trPr/>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22">
              <w:r>
                <w:rPr>
                  <w:rStyle w:val="InternetLink"/>
                  <w:rFonts w:ascii="Times New Roman;sans-serif" w:hAnsi="Times New Roman;sans-serif"/>
                  <w:b w:val="false"/>
                  <w:color w:val="0000EE"/>
                  <w:sz w:val="20"/>
                  <w:u w:val="single"/>
                </w:rPr>
                <w:t>Condensed Consolidated Statements of Changes in Stockholders’ Equity, Members’ Deficit, and Mezzanine Equity</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22">
              <w:r>
                <w:rPr>
                  <w:rStyle w:val="InternetLink"/>
                  <w:rFonts w:ascii="Times New Roman;sans-serif" w:hAnsi="Times New Roman;sans-serif"/>
                  <w:b w:val="false"/>
                  <w:color w:val="0000EE"/>
                  <w:sz w:val="20"/>
                  <w:u w:val="single"/>
                </w:rPr>
                <w:t>7</w:t>
              </w:r>
            </w:hyperlink>
          </w:p>
        </w:tc>
      </w:tr>
      <w:tr>
        <w:trPr/>
        <w:tc>
          <w:tcPr>
            <w:tcW w:w="1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25">
              <w:r>
                <w:rPr>
                  <w:rStyle w:val="InternetLink"/>
                  <w:rFonts w:ascii="Times New Roman;sans-serif" w:hAnsi="Times New Roman;sans-serif"/>
                  <w:b w:val="false"/>
                  <w:color w:val="0000FF"/>
                  <w:sz w:val="20"/>
                  <w:u w:val="single"/>
                </w:rPr>
                <w:t>Condensed Consolidated Statements of Cash Flows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25">
              <w:r>
                <w:rPr>
                  <w:rStyle w:val="InternetLink"/>
                  <w:rFonts w:ascii="Times New Roman;sans-serif" w:hAnsi="Times New Roman;sans-serif"/>
                  <w:b w:val="false"/>
                  <w:color w:val="0000EE"/>
                  <w:sz w:val="20"/>
                  <w:u w:val="single"/>
                </w:rPr>
                <w:t>8</w:t>
              </w:r>
            </w:hyperlink>
          </w:p>
        </w:tc>
      </w:tr>
      <w:tr>
        <w:trPr/>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28">
              <w:r>
                <w:rPr>
                  <w:rStyle w:val="InternetLink"/>
                  <w:rFonts w:ascii="Times New Roman;sans-serif" w:hAnsi="Times New Roman;sans-serif"/>
                  <w:b w:val="false"/>
                  <w:color w:val="0000FF"/>
                  <w:sz w:val="20"/>
                  <w:u w:val="single"/>
                </w:rPr>
                <w:t>Notes to Condensed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28">
              <w:r>
                <w:rPr>
                  <w:rStyle w:val="InternetLink"/>
                  <w:rFonts w:ascii="Times New Roman;sans-serif" w:hAnsi="Times New Roman;sans-serif"/>
                  <w:b w:val="false"/>
                  <w:color w:val="0000EE"/>
                  <w:sz w:val="20"/>
                  <w:u w:val="single"/>
                </w:rPr>
                <w:t>10</w:t>
              </w:r>
            </w:hyperlink>
          </w:p>
        </w:tc>
      </w:tr>
      <w:tr>
        <w:trPr/>
        <w:tc>
          <w:tcPr>
            <w:tcW w:w="12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82">
              <w:r>
                <w:rPr>
                  <w:rStyle w:val="InternetLink"/>
                  <w:rFonts w:ascii="Times New Roman;sans-serif" w:hAnsi="Times New Roman;sans-serif"/>
                  <w:b w:val="false"/>
                  <w:color w:val="0000EE"/>
                  <w:sz w:val="20"/>
                  <w:u w:val="single"/>
                </w:rPr>
                <w:t>Item 2.</w:t>
              </w:r>
            </w:hyperlink>
          </w:p>
        </w:tc>
        <w:tc>
          <w:tcPr>
            <w:tcW w:w="83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82">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82">
              <w:r>
                <w:rPr>
                  <w:rStyle w:val="InternetLink"/>
                  <w:rFonts w:ascii="Times New Roman;sans-serif" w:hAnsi="Times New Roman;sans-serif"/>
                  <w:b w:val="false"/>
                  <w:color w:val="0000EE"/>
                  <w:sz w:val="20"/>
                  <w:u w:val="single"/>
                </w:rPr>
                <w:t>25</w:t>
              </w:r>
            </w:hyperlink>
          </w:p>
        </w:tc>
      </w:tr>
      <w:tr>
        <w:trPr/>
        <w:tc>
          <w:tcPr>
            <w:tcW w:w="12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0">
              <w:r>
                <w:rPr>
                  <w:rStyle w:val="InternetLink"/>
                  <w:rFonts w:ascii="Times New Roman;sans-serif" w:hAnsi="Times New Roman;sans-serif"/>
                  <w:b w:val="false"/>
                  <w:color w:val="0000EE"/>
                  <w:sz w:val="20"/>
                  <w:u w:val="single"/>
                </w:rPr>
                <w:t>Item 3.</w:t>
              </w:r>
            </w:hyperlink>
          </w:p>
        </w:tc>
        <w:tc>
          <w:tcPr>
            <w:tcW w:w="83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Quantitative and Qualitative Disclosures About Market Risk</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12">
              <w:r>
                <w:rPr>
                  <w:rStyle w:val="InternetLink"/>
                  <w:rFonts w:ascii="Times New Roman;sans-serif" w:hAnsi="Times New Roman;sans-serif"/>
                  <w:b w:val="false"/>
                  <w:color w:val="0000EE"/>
                  <w:sz w:val="20"/>
                  <w:u w:val="single"/>
                </w:rPr>
                <w:t>39</w:t>
              </w:r>
            </w:hyperlink>
          </w:p>
        </w:tc>
      </w:tr>
      <w:tr>
        <w:trPr/>
        <w:tc>
          <w:tcPr>
            <w:tcW w:w="12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15">
              <w:r>
                <w:rPr>
                  <w:rStyle w:val="InternetLink"/>
                  <w:rFonts w:ascii="Times New Roman;sans-serif" w:hAnsi="Times New Roman;sans-serif"/>
                  <w:b w:val="false"/>
                  <w:color w:val="0000EE"/>
                  <w:sz w:val="20"/>
                  <w:u w:val="single"/>
                </w:rPr>
                <w:t>Item 4.</w:t>
              </w:r>
            </w:hyperlink>
          </w:p>
        </w:tc>
        <w:tc>
          <w:tcPr>
            <w:tcW w:w="83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15">
              <w:r>
                <w:rPr>
                  <w:rStyle w:val="InternetLink"/>
                  <w:rFonts w:ascii="Times New Roman;sans-serif" w:hAnsi="Times New Roman;sans-serif"/>
                  <w:b w:val="false"/>
                  <w:color w:val="0000EE"/>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15">
              <w:r>
                <w:rPr>
                  <w:rStyle w:val="InternetLink"/>
                  <w:rFonts w:ascii="Times New Roman;sans-serif" w:hAnsi="Times New Roman;sans-serif"/>
                  <w:b w:val="false"/>
                  <w:color w:val="0000EE"/>
                  <w:sz w:val="20"/>
                  <w:u w:val="single"/>
                </w:rPr>
                <w:t>40</w:t>
              </w:r>
            </w:hyperlink>
          </w:p>
        </w:tc>
      </w:tr>
      <w:tr>
        <w:trPr/>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18">
              <w:r>
                <w:rPr>
                  <w:rStyle w:val="InternetLink"/>
                  <w:rFonts w:ascii="Times New Roman;sans-serif" w:hAnsi="Times New Roman;sans-serif"/>
                  <w:b/>
                  <w:color w:val="0000EE"/>
                  <w:sz w:val="20"/>
                  <w:u w:val="single"/>
                </w:rPr>
                <w:t>Part II - Other Information</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18">
              <w:r>
                <w:rPr>
                  <w:rStyle w:val="InternetLink"/>
                  <w:rFonts w:ascii="Times New Roman;sans-serif" w:hAnsi="Times New Roman;sans-serif"/>
                  <w:b w:val="false"/>
                  <w:color w:val="0000EE"/>
                  <w:sz w:val="20"/>
                  <w:u w:val="single"/>
                </w:rPr>
                <w:t>41</w:t>
              </w:r>
            </w:hyperlink>
          </w:p>
        </w:tc>
      </w:tr>
      <w:tr>
        <w:trPr/>
        <w:tc>
          <w:tcPr>
            <w:tcW w:w="12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21">
              <w:r>
                <w:rPr>
                  <w:rStyle w:val="InternetLink"/>
                  <w:rFonts w:ascii="Times New Roman;sans-serif" w:hAnsi="Times New Roman;sans-serif"/>
                  <w:b w:val="false"/>
                  <w:color w:val="0000EE"/>
                  <w:sz w:val="20"/>
                  <w:u w:val="single"/>
                </w:rPr>
                <w:t>Item 1.</w:t>
              </w:r>
            </w:hyperlink>
          </w:p>
        </w:tc>
        <w:tc>
          <w:tcPr>
            <w:tcW w:w="83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21">
              <w:r>
                <w:rPr>
                  <w:rStyle w:val="InternetLink"/>
                  <w:rFonts w:ascii="Times New Roman;sans-serif" w:hAnsi="Times New Roman;sans-serif"/>
                  <w:b w:val="false"/>
                  <w:color w:val="0000EE"/>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21">
              <w:r>
                <w:rPr>
                  <w:rStyle w:val="InternetLink"/>
                  <w:rFonts w:ascii="Times New Roman;sans-serif" w:hAnsi="Times New Roman;sans-serif"/>
                  <w:b w:val="false"/>
                  <w:color w:val="0000EE"/>
                  <w:sz w:val="20"/>
                  <w:u w:val="single"/>
                </w:rPr>
                <w:t>41</w:t>
              </w:r>
            </w:hyperlink>
          </w:p>
        </w:tc>
      </w:tr>
      <w:tr>
        <w:trPr/>
        <w:tc>
          <w:tcPr>
            <w:tcW w:w="12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24">
              <w:r>
                <w:rPr>
                  <w:rStyle w:val="InternetLink"/>
                  <w:rFonts w:ascii="Times New Roman;sans-serif" w:hAnsi="Times New Roman;sans-serif"/>
                  <w:b w:val="false"/>
                  <w:color w:val="0000EE"/>
                  <w:sz w:val="20"/>
                  <w:u w:val="single"/>
                </w:rPr>
                <w:t>Item 1A.</w:t>
              </w:r>
            </w:hyperlink>
          </w:p>
        </w:tc>
        <w:tc>
          <w:tcPr>
            <w:tcW w:w="83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24">
              <w:r>
                <w:rPr>
                  <w:rStyle w:val="InternetLink"/>
                  <w:rFonts w:ascii="Times New Roman;sans-serif" w:hAnsi="Times New Roman;sans-serif"/>
                  <w:b w:val="false"/>
                  <w:color w:val="0000EE"/>
                  <w:sz w:val="20"/>
                  <w:u w:val="single"/>
                </w:rPr>
                <w:t>Risk Factors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24">
              <w:r>
                <w:rPr>
                  <w:rStyle w:val="InternetLink"/>
                  <w:rFonts w:ascii="Times New Roman;sans-serif" w:hAnsi="Times New Roman;sans-serif"/>
                  <w:b w:val="false"/>
                  <w:color w:val="0000EE"/>
                  <w:sz w:val="20"/>
                  <w:u w:val="single"/>
                </w:rPr>
                <w:t>41</w:t>
              </w:r>
            </w:hyperlink>
          </w:p>
        </w:tc>
      </w:tr>
      <w:tr>
        <w:trPr/>
        <w:tc>
          <w:tcPr>
            <w:tcW w:w="12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27">
              <w:r>
                <w:rPr>
                  <w:rStyle w:val="InternetLink"/>
                  <w:rFonts w:ascii="Times New Roman;sans-serif" w:hAnsi="Times New Roman;sans-serif"/>
                  <w:b w:val="false"/>
                  <w:color w:val="0000EE"/>
                  <w:sz w:val="20"/>
                  <w:u w:val="single"/>
                </w:rPr>
                <w:t>Item 2.</w:t>
              </w:r>
            </w:hyperlink>
          </w:p>
        </w:tc>
        <w:tc>
          <w:tcPr>
            <w:tcW w:w="83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27">
              <w:r>
                <w:rPr>
                  <w:rStyle w:val="InternetLink"/>
                  <w:rFonts w:ascii="Times New Roman;sans-serif" w:hAnsi="Times New Roman;sans-serif"/>
                  <w:b w:val="false"/>
                  <w:color w:val="0000EE"/>
                  <w:sz w:val="20"/>
                  <w:u w:val="single"/>
                </w:rPr>
                <w:t>Unregistered Sales of Equity Securities and Use of Proceeds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27">
              <w:r>
                <w:rPr>
                  <w:rStyle w:val="InternetLink"/>
                  <w:rFonts w:ascii="Times New Roman;sans-serif" w:hAnsi="Times New Roman;sans-serif"/>
                  <w:b w:val="false"/>
                  <w:color w:val="0000EE"/>
                  <w:sz w:val="20"/>
                  <w:u w:val="single"/>
                </w:rPr>
                <w:t>41</w:t>
              </w:r>
            </w:hyperlink>
          </w:p>
        </w:tc>
      </w:tr>
      <w:tr>
        <w:trPr/>
        <w:tc>
          <w:tcPr>
            <w:tcW w:w="12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0">
              <w:r>
                <w:rPr>
                  <w:rStyle w:val="InternetLink"/>
                  <w:rFonts w:ascii="Times New Roman;sans-serif" w:hAnsi="Times New Roman;sans-serif"/>
                  <w:b w:val="false"/>
                  <w:color w:val="0000EE"/>
                  <w:sz w:val="20"/>
                  <w:u w:val="single"/>
                </w:rPr>
                <w:t>Item 3.</w:t>
              </w:r>
            </w:hyperlink>
          </w:p>
        </w:tc>
        <w:tc>
          <w:tcPr>
            <w:tcW w:w="83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0">
              <w:r>
                <w:rPr>
                  <w:rStyle w:val="InternetLink"/>
                  <w:rFonts w:ascii="Times New Roman;sans-serif" w:hAnsi="Times New Roman;sans-serif"/>
                  <w:b w:val="false"/>
                  <w:color w:val="0000EE"/>
                  <w:sz w:val="20"/>
                  <w:u w:val="single"/>
                </w:rPr>
                <w:t>Defaults Upon Senior Securities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30">
              <w:r>
                <w:rPr>
                  <w:rStyle w:val="InternetLink"/>
                  <w:rFonts w:ascii="Times New Roman;sans-serif" w:hAnsi="Times New Roman;sans-serif"/>
                  <w:b w:val="false"/>
                  <w:color w:val="0000EE"/>
                  <w:sz w:val="20"/>
                  <w:u w:val="single"/>
                </w:rPr>
                <w:t>41</w:t>
              </w:r>
            </w:hyperlink>
          </w:p>
        </w:tc>
      </w:tr>
      <w:tr>
        <w:trPr/>
        <w:tc>
          <w:tcPr>
            <w:tcW w:w="12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3">
              <w:r>
                <w:rPr>
                  <w:rStyle w:val="InternetLink"/>
                  <w:rFonts w:ascii="Times New Roman;sans-serif" w:hAnsi="Times New Roman;sans-serif"/>
                  <w:b w:val="false"/>
                  <w:color w:val="0000EE"/>
                  <w:sz w:val="20"/>
                  <w:u w:val="single"/>
                </w:rPr>
                <w:t>Item 4.</w:t>
              </w:r>
            </w:hyperlink>
          </w:p>
        </w:tc>
        <w:tc>
          <w:tcPr>
            <w:tcW w:w="83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3">
              <w:r>
                <w:rPr>
                  <w:rStyle w:val="InternetLink"/>
                  <w:rFonts w:ascii="Times New Roman;sans-serif" w:hAnsi="Times New Roman;sans-serif"/>
                  <w:b w:val="false"/>
                  <w:color w:val="0000EE"/>
                  <w:sz w:val="20"/>
                  <w:u w:val="single"/>
                </w:rPr>
                <w:t>Mine Safety Disclosures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33">
              <w:r>
                <w:rPr>
                  <w:rStyle w:val="InternetLink"/>
                  <w:rFonts w:ascii="Times New Roman;sans-serif" w:hAnsi="Times New Roman;sans-serif"/>
                  <w:b w:val="false"/>
                  <w:color w:val="0000EE"/>
                  <w:sz w:val="20"/>
                  <w:u w:val="single"/>
                </w:rPr>
                <w:t>41</w:t>
              </w:r>
            </w:hyperlink>
          </w:p>
        </w:tc>
      </w:tr>
      <w:tr>
        <w:trPr/>
        <w:tc>
          <w:tcPr>
            <w:tcW w:w="12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6">
              <w:r>
                <w:rPr>
                  <w:rStyle w:val="InternetLink"/>
                  <w:rFonts w:ascii="Times New Roman;sans-serif" w:hAnsi="Times New Roman;sans-serif"/>
                  <w:b w:val="false"/>
                  <w:color w:val="0000EE"/>
                  <w:sz w:val="20"/>
                  <w:u w:val="single"/>
                </w:rPr>
                <w:t>Item 5.</w:t>
              </w:r>
            </w:hyperlink>
          </w:p>
        </w:tc>
        <w:tc>
          <w:tcPr>
            <w:tcW w:w="83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6">
              <w:r>
                <w:rPr>
                  <w:rStyle w:val="InternetLink"/>
                  <w:rFonts w:ascii="Times New Roman;sans-serif" w:hAnsi="Times New Roman;sans-serif"/>
                  <w:b w:val="false"/>
                  <w:color w:val="0000EE"/>
                  <w:sz w:val="20"/>
                  <w:u w:val="single"/>
                </w:rPr>
                <w:t>Other Information</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36">
              <w:r>
                <w:rPr>
                  <w:rStyle w:val="InternetLink"/>
                  <w:rFonts w:ascii="Times New Roman;sans-serif" w:hAnsi="Times New Roman;sans-serif"/>
                  <w:b w:val="false"/>
                  <w:color w:val="0000EE"/>
                  <w:sz w:val="20"/>
                  <w:u w:val="single"/>
                </w:rPr>
                <w:t>41</w:t>
              </w:r>
            </w:hyperlink>
          </w:p>
        </w:tc>
      </w:tr>
      <w:tr>
        <w:trPr/>
        <w:tc>
          <w:tcPr>
            <w:tcW w:w="12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9">
              <w:r>
                <w:rPr>
                  <w:rStyle w:val="InternetLink"/>
                  <w:rFonts w:ascii="Times New Roman;sans-serif" w:hAnsi="Times New Roman;sans-serif"/>
                  <w:b w:val="false"/>
                  <w:color w:val="0000EE"/>
                  <w:sz w:val="20"/>
                  <w:u w:val="single"/>
                </w:rPr>
                <w:t>Item 6.</w:t>
              </w:r>
            </w:hyperlink>
          </w:p>
        </w:tc>
        <w:tc>
          <w:tcPr>
            <w:tcW w:w="83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39">
              <w:r>
                <w:rPr>
                  <w:rStyle w:val="InternetLink"/>
                </w:rPr>
                <w:t xml:space="preserve">Exhibits and </w:t>
              </w:r>
            </w:hyperlink>
            <w:hyperlink w:anchor="ide5608f430074a14a62a1012eb0b17f1_139">
              <w:r>
                <w:rPr>
                  <w:rStyle w:val="InternetLink"/>
                </w:rPr>
                <w:t>F</w:t>
              </w:r>
            </w:hyperlink>
            <w:hyperlink w:anchor="ide5608f430074a14a62a1012eb0b17f1_139">
              <w:r>
                <w:rPr>
                  <w:rStyle w:val="InternetLink"/>
                </w:rPr>
                <w:t xml:space="preserve">inancial </w:t>
              </w:r>
            </w:hyperlink>
            <w:hyperlink w:anchor="ide5608f430074a14a62a1012eb0b17f1_139">
              <w:r>
                <w:rPr>
                  <w:rStyle w:val="InternetLink"/>
                </w:rPr>
                <w:t>S</w:t>
              </w:r>
            </w:hyperlink>
            <w:hyperlink w:anchor="ide5608f430074a14a62a1012eb0b17f1_139">
              <w:r>
                <w:rPr>
                  <w:rStyle w:val="InternetLink"/>
                </w:rPr>
                <w:t>tatements</w:t>
              </w:r>
            </w:hyperlink>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39">
              <w:r>
                <w:rPr>
                  <w:rStyle w:val="InternetLink"/>
                  <w:rFonts w:ascii="Times New Roman;sans-serif" w:hAnsi="Times New Roman;sans-serif"/>
                  <w:b w:val="false"/>
                  <w:color w:val="0000EE"/>
                  <w:sz w:val="20"/>
                  <w:u w:val="single"/>
                </w:rPr>
                <w:t>42</w:t>
              </w:r>
            </w:hyperlink>
          </w:p>
        </w:tc>
      </w:tr>
      <w:tr>
        <w:trPr/>
        <w:tc>
          <w:tcPr>
            <w:tcW w:w="9631"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de5608f430074a14a62a1012eb0b17f1_142">
              <w:r>
                <w:rPr>
                  <w:rStyle w:val="InternetLink"/>
                  <w:rFonts w:ascii="Times New Roman;sans-serif" w:hAnsi="Times New Roman;sans-serif"/>
                  <w:b w:val="false"/>
                  <w:color w:val="0000EE"/>
                  <w:sz w:val="20"/>
                  <w:u w:val="single"/>
                </w:rPr>
                <w:t>Signatures</w:t>
              </w:r>
            </w:hyperlink>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de5608f430074a14a62a1012eb0b17f1_142">
              <w:r>
                <w:rPr>
                  <w:rStyle w:val="InternetLink"/>
                  <w:rFonts w:ascii="Times New Roman;sans-serif" w:hAnsi="Times New Roman;sans-serif"/>
                  <w:b w:val="false"/>
                  <w:color w:val="0000EE"/>
                  <w:sz w:val="20"/>
                  <w:u w:val="single"/>
                </w:rPr>
                <w:t>43</w:t>
              </w:r>
            </w:hyperlink>
          </w:p>
        </w:tc>
      </w:tr>
    </w:tbl>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on Form 10-Q (this “ Report”), excluding historical information, contain or may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Statements regarding our future results of operations and financial position, business strategy and plans, and objectives of management for future operations, including, among others, statements regarding expected growth, future capital expenditures and debt service obligations, are forward-looking statements. In some cases, you may identify forward-looking statements by terms such as “may,” “will,” “should,” “expects,” “plans,” “anticipates,” “could,” “seeks,” “intends,” “targets,” “projects,” “contemplates,” “grows,”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actual results to differ materially from those indicated in any forward-looking statements, include, but are not limited to, the following:</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future financial and operating performance, including our ability to achieve or maintain profitability;</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ability to successfully execute our business plan and growth strategy;</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the sufficiency of our cash and cash equivalents to meet our liquidity needs;</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ability to attract and retain customers;</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ability to develop new offerings and services, including digital applications;</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ability to optimize existing and future sales channels and market segmentation;</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ability to compete with existing and new competitors in existing and future markets and offerings;</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 xml:space="preserve">our ability to attract and retain talent; </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 xml:space="preserve">the impact of economic, social, and political instability in the markets in which we operate; </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 xml:space="preserve">changes in inflation, interest rates and foreign currency exchange rates; </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expectations regarding the size and growth of our existing and future markets in which we compete;</w:t>
      </w:r>
    </w:p>
    <w:p>
      <w:pPr>
        <w:pStyle w:val="TextBody"/>
        <w:spacing w:lineRule="auto" w:line="288" w:before="160" w:after="160"/>
        <w:ind w:left="0" w:right="0" w:firstLine="360"/>
        <w:jc w:val="both"/>
        <w:rPr/>
      </w:pPr>
      <w:r>
        <w:rPr>
          <w:color w:val="000000"/>
        </w:rPr>
        <w:t>•</w:t>
      </w:r>
      <w:r>
        <w:rPr>
          <w:rFonts w:ascii="Times New Roman;sans-serif" w:hAnsi="Times New Roman;sans-serif"/>
          <w:b w:val="false"/>
          <w:color w:val="000000"/>
          <w:sz w:val="20"/>
        </w:rPr>
        <w:t>the continued and potential future impact of the COVID-19 pandemic on our ground operations at project sites, our manufacturing facilities, our customers, our workforce, and our suppliers and our vendors;</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ability to maintain customer contracts due to events and incidents relating to storage, delivery, installation, operation and shutdowns of our energy storage products, including events and incidents outside of our control;</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ability to prevent defects, errors, or bugs in hardware or software of our products and technology as well as any defects that may give product liability or other claims;</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the impact of any existing and new laws and regulations on our business and operations;</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assessment and expectations regarding our global growth;</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expectations concerning our relationships with third parties;</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the performance of our acquisitions;</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 xml:space="preserve">the increased expenses associated with being a public company; </w:t>
      </w:r>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the continued listing of our securities on the Nasdaq Global Select Market;</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ind w:left="0" w:right="0" w:firstLine="360"/>
        <w:jc w:val="both"/>
        <w:rPr/>
      </w:pPr>
      <w:r>
        <w:rPr>
          <w:color w:val="000000"/>
        </w:rPr>
        <w:t>•</w:t>
      </w:r>
      <w:r>
        <w:rPr>
          <w:rFonts w:ascii="Times New Roman;sans-serif" w:hAnsi="Times New Roman;sans-serif"/>
          <w:b w:val="false"/>
          <w:color w:val="000000"/>
          <w:sz w:val="20"/>
        </w:rPr>
        <w:t>the significant influence the Founders have over us, including control over decisions that require the approval of stockholders; and</w:t>
      </w:r>
    </w:p>
    <w:p>
      <w:pPr>
        <w:pStyle w:val="TextBody"/>
        <w:spacing w:lineRule="auto" w:line="288" w:before="160" w:after="283"/>
        <w:ind w:left="0" w:right="0" w:firstLine="360"/>
        <w:rPr/>
      </w:pPr>
      <w:r>
        <w:rPr>
          <w:color w:val="000000"/>
        </w:rPr>
        <w:t>•</w:t>
      </w:r>
      <w:r>
        <w:rPr>
          <w:rFonts w:ascii="Times New Roman;sans-serif" w:hAnsi="Times New Roman;sans-serif"/>
          <w:b w:val="false"/>
          <w:color w:val="000000"/>
          <w:sz w:val="20"/>
        </w:rPr>
        <w:t>other factors described in Part I, Item 1A “Risk Factors” in our 2021 Annual Report and Item 1A “Risk Factors” in this Report.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construed as exhaustive.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contained in this Report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 and per share amounts)</w:t>
      </w:r>
    </w:p>
    <w:tbl>
      <w:tblPr>
        <w:tblW w:w="10205" w:type="dxa"/>
        <w:jc w:val="center"/>
        <w:tblInd w:w="0" w:type="dxa"/>
        <w:tblCellMar>
          <w:top w:w="28" w:type="dxa"/>
          <w:left w:w="28" w:type="dxa"/>
          <w:bottom w:w="28" w:type="dxa"/>
          <w:right w:w="28" w:type="dxa"/>
        </w:tblCellMar>
      </w:tblPr>
      <w:tblGrid>
        <w:gridCol w:w="2825"/>
        <w:gridCol w:w="2347"/>
        <w:gridCol w:w="2341"/>
        <w:gridCol w:w="196"/>
        <w:gridCol w:w="871"/>
        <w:gridCol w:w="109"/>
        <w:gridCol w:w="109"/>
        <w:gridCol w:w="109"/>
        <w:gridCol w:w="109"/>
        <w:gridCol w:w="213"/>
        <w:gridCol w:w="805"/>
        <w:gridCol w:w="171"/>
      </w:tblGrid>
      <w:tr>
        <w:trPr/>
        <w:tc>
          <w:tcPr>
            <w:tcW w:w="2825" w:type="dxa"/>
            <w:tcBorders/>
            <w:shd w:fill="auto" w:val="clear"/>
            <w:vAlign w:val="center"/>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7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2021</w:t>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net of allowances ($86 and $90 at March 31, 2022 and September 30, 2021,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101,975 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related parties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Advances to suppliers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389,787 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41,917 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661,515 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Advances to suppliers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56,160 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717,675 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Stockholders’ Equity, Members’ Deficit, and Mezzanine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158,366 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 from line of credit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 from related parties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related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and provisions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186,143 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and deferred revenue with related parties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227,925 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payable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771,493 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Personnel related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and provisions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r>
      <w:tr>
        <w:trPr/>
        <w:tc>
          <w:tcPr>
            <w:tcW w:w="7513"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9" w:type="dxa"/>
            <w:gridSpan w:val="3"/>
            <w:tcBorders/>
            <w:shd w:fill="auto" w:val="cle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773,874 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(See Note 12)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Mezzanine equity (0 and 18,493,275 units issued and outstanding as of March 31, 2022 and September 30, 2021, respectively)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117,235 </w:t>
            </w:r>
          </w:p>
        </w:tc>
        <w:tc>
          <w:tcPr>
            <w:tcW w:w="171"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 / Members’ Deficit</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Members’ capital contributions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106,152 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Preferred stock, </w:t>
            </w:r>
            <w:r>
              <w:rPr>
                <w:rFonts w:ascii="Times New Roman;sans-serif" w:hAnsi="Times New Roman;sans-serif"/>
                <w:b w:val="false"/>
                <w:color w:val="0D0D0D"/>
                <w:sz w:val="18"/>
              </w:rPr>
              <w:t>$0.00001 per share, 10,000,000 shares authorized; no shares issued and outstanding as of March 31, 2022</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$0.00001 par value per share, 1,200,000,000 shares authorized; 54,143,275 shares issued and outstanding as of March 31, 2022.</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B-1 common stock, $0.00001 par value per share, 300,000,000 shares authorized; 117,173,390 shares issued and outstanding as of March 31, 2022</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B-2 common stock, $0.00001 par value per share, 300,000,000 shares authorized; no shares issued and outstanding as of March 31, 2022</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(279,301)</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attributable to Fluence Energy, Inc./ Members’ deficit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(173,434)</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and members’ deficit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(173,434)</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stockholders’ equity, members’ deficit, and mezzanine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717,675 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COMPREHENSIVE LOSS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 and per share amounts)</w:t>
      </w:r>
    </w:p>
    <w:tbl>
      <w:tblPr>
        <w:tblW w:w="10205" w:type="dxa"/>
        <w:jc w:val="left"/>
        <w:tblInd w:w="0" w:type="dxa"/>
        <w:tblCellMar>
          <w:top w:w="28" w:type="dxa"/>
          <w:left w:w="28" w:type="dxa"/>
          <w:bottom w:w="28" w:type="dxa"/>
          <w:right w:w="28" w:type="dxa"/>
        </w:tblCellMar>
      </w:tblPr>
      <w:tblGrid>
        <w:gridCol w:w="1835"/>
        <w:gridCol w:w="1356"/>
        <w:gridCol w:w="1361"/>
        <w:gridCol w:w="219"/>
        <w:gridCol w:w="862"/>
        <w:gridCol w:w="109"/>
        <w:gridCol w:w="109"/>
        <w:gridCol w:w="109"/>
        <w:gridCol w:w="109"/>
        <w:gridCol w:w="211"/>
        <w:gridCol w:w="764"/>
        <w:gridCol w:w="109"/>
        <w:gridCol w:w="109"/>
        <w:gridCol w:w="109"/>
        <w:gridCol w:w="109"/>
        <w:gridCol w:w="211"/>
        <w:gridCol w:w="884"/>
        <w:gridCol w:w="109"/>
        <w:gridCol w:w="109"/>
        <w:gridCol w:w="109"/>
        <w:gridCol w:w="109"/>
        <w:gridCol w:w="211"/>
        <w:gridCol w:w="826"/>
        <w:gridCol w:w="157"/>
      </w:tblGrid>
      <w:tr>
        <w:trPr/>
        <w:tc>
          <w:tcPr>
            <w:tcW w:w="1835"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9"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115,798 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67,886 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142,852 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165,714 </w:t>
            </w:r>
          </w:p>
        </w:tc>
        <w:tc>
          <w:tcPr>
            <w:tcW w:w="157"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342,724 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98,133 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517,611 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214,366 </w:t>
            </w:r>
          </w:p>
        </w:tc>
        <w:tc>
          <w:tcPr>
            <w:tcW w:w="157"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208,552 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profit</w:t>
            </w:r>
          </w:p>
        </w:tc>
        <w:tc>
          <w:tcPr>
            <w:tcW w:w="1081"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57"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12,511 </w:t>
            </w:r>
          </w:p>
        </w:tc>
        <w:tc>
          <w:tcPr>
            <w:tcW w:w="157"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56,438 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14,998 </w:t>
            </w:r>
          </w:p>
        </w:tc>
        <w:tc>
          <w:tcPr>
            <w:tcW w:w="157"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Interest expense</w:t>
            </w:r>
          </w:p>
        </w:tc>
        <w:tc>
          <w:tcPr>
            <w:tcW w:w="1081"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7"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1"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(60,576)</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(23,023)</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(171,678)</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(34,834)</w:t>
            </w:r>
          </w:p>
        </w:tc>
        <w:tc>
          <w:tcPr>
            <w:tcW w:w="157"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(60,704)</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(23,532)</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(172,164)</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(36,028)</w:t>
            </w:r>
          </w:p>
        </w:tc>
        <w:tc>
          <w:tcPr>
            <w:tcW w:w="157"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Fluence Energy, Inc.</w:t>
            </w:r>
          </w:p>
        </w:tc>
        <w:tc>
          <w:tcPr>
            <w:tcW w:w="219"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(19,185)</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doub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(47,990)</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5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w:t>
            </w:r>
          </w:p>
        </w:tc>
        <w:tc>
          <w:tcPr>
            <w:tcW w:w="1190"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54,143,275 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54,143,275 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w:t>
            </w:r>
          </w:p>
        </w:tc>
        <w:tc>
          <w:tcPr>
            <w:tcW w:w="1190"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552"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gain (loss), net of income tax (expense) benefit of $0 in each period </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81"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57"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219"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(41,533)</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(124,103)</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(36,757)</w:t>
            </w:r>
          </w:p>
        </w:tc>
        <w:tc>
          <w:tcPr>
            <w:tcW w:w="157"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attributable to Fluence Energy, Inc.</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5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MEMBERS’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DEFICIT, AND MEZZANINE EQUITY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 except share/unit amounts)</w:t>
      </w:r>
    </w:p>
    <w:p>
      <w:pPr>
        <w:pStyle w:val="TextBody"/>
        <w:spacing w:before="0" w:after="0"/>
        <w:jc w:val="center"/>
        <w:rPr/>
      </w:pPr>
      <w:r>
        <w:rPr/>
      </w:r>
    </w:p>
    <w:tbl>
      <w:tblPr>
        <w:tblW w:w="12144" w:type="dxa"/>
        <w:jc w:val="center"/>
        <w:tblInd w:w="0" w:type="dxa"/>
        <w:tblCellMar>
          <w:top w:w="28" w:type="dxa"/>
          <w:left w:w="28" w:type="dxa"/>
          <w:bottom w:w="28" w:type="dxa"/>
          <w:right w:w="28" w:type="dxa"/>
        </w:tblCellMar>
      </w:tblPr>
      <w:tblGrid>
        <w:gridCol w:w="634"/>
        <w:gridCol w:w="268"/>
        <w:gridCol w:w="269"/>
        <w:gridCol w:w="196"/>
        <w:gridCol w:w="736"/>
        <w:gridCol w:w="109"/>
        <w:gridCol w:w="196"/>
        <w:gridCol w:w="736"/>
        <w:gridCol w:w="109"/>
        <w:gridCol w:w="480"/>
        <w:gridCol w:w="481"/>
        <w:gridCol w:w="151"/>
        <w:gridCol w:w="196"/>
        <w:gridCol w:w="406"/>
        <w:gridCol w:w="109"/>
        <w:gridCol w:w="525"/>
        <w:gridCol w:w="526"/>
        <w:gridCol w:w="151"/>
        <w:gridCol w:w="196"/>
        <w:gridCol w:w="406"/>
        <w:gridCol w:w="109"/>
        <w:gridCol w:w="196"/>
        <w:gridCol w:w="736"/>
        <w:gridCol w:w="109"/>
        <w:gridCol w:w="196"/>
        <w:gridCol w:w="751"/>
        <w:gridCol w:w="109"/>
        <w:gridCol w:w="242"/>
        <w:gridCol w:w="538"/>
        <w:gridCol w:w="136"/>
        <w:gridCol w:w="196"/>
        <w:gridCol w:w="736"/>
        <w:gridCol w:w="109"/>
        <w:gridCol w:w="196"/>
        <w:gridCol w:w="751"/>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Mezzanine </w:t>
              <w:br/>
              <w:t>Equity</w:t>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Members’ capital contributions</w:t>
            </w:r>
          </w:p>
        </w:tc>
        <w:tc>
          <w:tcPr>
            <w:tcW w:w="182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Class A </w:t>
              <w:br/>
              <w:t>Common Stock</w:t>
            </w:r>
          </w:p>
        </w:tc>
        <w:tc>
          <w:tcPr>
            <w:tcW w:w="19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Class B-1 </w:t>
              <w:br/>
              <w:t>Common Stock</w:t>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Additional </w:t>
              <w:br/>
              <w:t xml:space="preserve">Paid-In </w:t>
              <w:br/>
              <w:t>Capital</w:t>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Deficit</w:t>
            </w:r>
          </w:p>
        </w:tc>
        <w:tc>
          <w:tcPr>
            <w:tcW w:w="9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Accumulated </w:t>
              <w:br/>
              <w:t xml:space="preserve">Other </w:t>
              <w:br/>
              <w:t xml:space="preserve">Comprehensive </w:t>
              <w:br/>
              <w:t>(Loss) Income</w:t>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Non-Controlling </w:t>
              <w:br/>
              <w:t>interest</w:t>
            </w:r>
          </w:p>
        </w:tc>
        <w:tc>
          <w:tcPr>
            <w:tcW w:w="110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stockholders’ equity and</w:t>
              <w:br/>
              <w:t> members’ deficit</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12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9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10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54,143,275 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117,173,390 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Activity under stock compensation plan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income tax benefit of $0</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54,143,275 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117,173,390 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September 30,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(173,434)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prior to the Transactions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prior to the Transactions, net of income tax expense of $0</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the Transactions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18,493,275 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117,173,390 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Class A Common stock in IPO, net of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35,650,000 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935,762 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subsequent to the Transactions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Activity under stock compensation plan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subsequent to the Transactions, net of income tax expense of $0</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54,143,275 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117,173,390 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725,457 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913"/>
        <w:gridCol w:w="738"/>
        <w:gridCol w:w="740"/>
        <w:gridCol w:w="109"/>
        <w:gridCol w:w="109"/>
        <w:gridCol w:w="109"/>
        <w:gridCol w:w="435"/>
        <w:gridCol w:w="436"/>
        <w:gridCol w:w="176"/>
        <w:gridCol w:w="123"/>
        <w:gridCol w:w="123"/>
        <w:gridCol w:w="123"/>
        <w:gridCol w:w="221"/>
        <w:gridCol w:w="731"/>
        <w:gridCol w:w="123"/>
        <w:gridCol w:w="109"/>
        <w:gridCol w:w="109"/>
        <w:gridCol w:w="109"/>
        <w:gridCol w:w="345"/>
        <w:gridCol w:w="768"/>
        <w:gridCol w:w="193"/>
        <w:gridCol w:w="109"/>
        <w:gridCol w:w="109"/>
        <w:gridCol w:w="109"/>
        <w:gridCol w:w="245"/>
        <w:gridCol w:w="952"/>
        <w:gridCol w:w="139"/>
        <w:gridCol w:w="109"/>
        <w:gridCol w:w="109"/>
        <w:gridCol w:w="109"/>
        <w:gridCol w:w="256"/>
        <w:gridCol w:w="909"/>
        <w:gridCol w:w="208"/>
      </w:tblGrid>
      <w:tr>
        <w:trPr/>
        <w:tc>
          <w:tcPr>
            <w:tcW w:w="91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3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9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Limited Members’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Comprehensive</w:t>
              <w:br/>
              <w:t>(Loss) 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Members’ Deficit</w:t>
            </w:r>
          </w:p>
        </w:tc>
      </w:tr>
      <w:tr>
        <w:trPr/>
        <w:tc>
          <w:tcPr>
            <w:tcW w:w="2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2391" w:type="dxa"/>
            <w:gridSpan w:val="3"/>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2020</w:t>
            </w:r>
          </w:p>
        </w:tc>
        <w:tc>
          <w:tcPr>
            <w:tcW w:w="327" w:type="dxa"/>
            <w:gridSpan w:val="3"/>
            <w:tcBorders>
              <w:top w:val="sing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7,920,000 </w:t>
            </w:r>
          </w:p>
        </w:tc>
        <w:tc>
          <w:tcPr>
            <w:tcW w:w="176"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99,872 </w:t>
            </w:r>
          </w:p>
        </w:tc>
        <w:tc>
          <w:tcPr>
            <w:tcW w:w="123"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193"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(129,794)</w:t>
            </w:r>
          </w:p>
        </w:tc>
        <w:tc>
          <w:tcPr>
            <w:tcW w:w="13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(30,572)</w:t>
            </w:r>
          </w:p>
        </w:tc>
        <w:tc>
          <w:tcPr>
            <w:tcW w:w="208"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(23,532)</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(23,532)</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1" w:type="dxa"/>
            <w:gridSpan w:val="3"/>
            <w:tcBorders/>
            <w:shd w:fill="D2EDFE"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income tax expense of $0</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93"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08"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7,920,000 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99,872 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(153,326)</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(53,982)</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1"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top w:val="doub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September 30, 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7,920,000 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99,872 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(117,298)</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(17,225)</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1"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(36,028)</w:t>
            </w:r>
          </w:p>
        </w:tc>
        <w:tc>
          <w:tcPr>
            <w:tcW w:w="13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(36,028)</w:t>
            </w:r>
          </w:p>
        </w:tc>
        <w:tc>
          <w:tcPr>
            <w:tcW w:w="208"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income tax benefit of $0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1" w:type="dxa"/>
            <w:gridSpan w:val="3"/>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2021</w:t>
            </w:r>
          </w:p>
        </w:tc>
        <w:tc>
          <w:tcPr>
            <w:tcW w:w="327" w:type="dxa"/>
            <w:gridSpan w:val="3"/>
            <w:tcBorders>
              <w:top w:val="single" w:sz="8" w:space="0" w:color="000000"/>
              <w:bottom w:val="double" w:sz="8" w:space="0" w:color="000000"/>
            </w:tcBorders>
            <w:shd w:fill="D2EDFE" w:val="clear"/>
            <w:tcMar>
              <w:left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7,920,000 </w:t>
            </w:r>
          </w:p>
        </w:tc>
        <w:tc>
          <w:tcPr>
            <w:tcW w:w="176"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top w:val="single" w:sz="8" w:space="0" w:color="000000"/>
              <w:bottom w:val="double" w:sz="8" w:space="0" w:color="000000"/>
            </w:tcBorders>
            <w:shd w:fill="D2EDFE" w:val="clear"/>
            <w:tcMar>
              <w:left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99,872 </w:t>
            </w:r>
          </w:p>
        </w:tc>
        <w:tc>
          <w:tcPr>
            <w:tcW w:w="123"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D2EDFE" w:val="clear"/>
            <w:tcMar>
              <w:left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w:t>
            </w:r>
          </w:p>
        </w:tc>
        <w:tc>
          <w:tcPr>
            <w:tcW w:w="193"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D2EDFE" w:val="clear"/>
            <w:tcMar>
              <w:left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2"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(153,326)</w:t>
            </w:r>
          </w:p>
        </w:tc>
        <w:tc>
          <w:tcPr>
            <w:tcW w:w="139"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D2EDFE" w:val="clear"/>
            <w:tcMar>
              <w:left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(53,982)</w:t>
            </w:r>
          </w:p>
        </w:tc>
        <w:tc>
          <w:tcPr>
            <w:tcW w:w="208" w:type="dxa"/>
            <w:tcBorders>
              <w:top w:val="single" w:sz="8" w:space="0" w:color="000000"/>
              <w:bottom w:val="double" w:sz="8" w:space="0" w:color="000000"/>
            </w:tcBorders>
            <w:shd w:fill="D2EDFE"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(U.S. Dollars in Thousands)</w:t>
      </w:r>
    </w:p>
    <w:tbl>
      <w:tblPr>
        <w:tblW w:w="10205" w:type="dxa"/>
        <w:jc w:val="center"/>
        <w:tblInd w:w="0" w:type="dxa"/>
        <w:tblCellMar>
          <w:top w:w="28" w:type="dxa"/>
          <w:left w:w="28" w:type="dxa"/>
          <w:bottom w:w="28" w:type="dxa"/>
          <w:right w:w="28" w:type="dxa"/>
        </w:tblCellMar>
      </w:tblPr>
      <w:tblGrid>
        <w:gridCol w:w="2726"/>
        <w:gridCol w:w="2379"/>
        <w:gridCol w:w="2395"/>
        <w:gridCol w:w="211"/>
        <w:gridCol w:w="898"/>
        <w:gridCol w:w="109"/>
        <w:gridCol w:w="109"/>
        <w:gridCol w:w="109"/>
        <w:gridCol w:w="109"/>
        <w:gridCol w:w="211"/>
        <w:gridCol w:w="793"/>
        <w:gridCol w:w="156"/>
      </w:tblGrid>
      <w:tr>
        <w:trPr/>
        <w:tc>
          <w:tcPr>
            <w:tcW w:w="2726" w:type="dxa"/>
            <w:tcBorders/>
            <w:shd w:fill="auto" w:val="clear"/>
            <w:vAlign w:val="center"/>
          </w:tcPr>
          <w:p>
            <w:pPr>
              <w:pStyle w:val="TableContents"/>
              <w:spacing w:before="0" w:after="283"/>
              <w:rPr>
                <w:sz w:val="4"/>
                <w:szCs w:val="4"/>
              </w:rPr>
            </w:pPr>
            <w:r>
              <w:rPr>
                <w:sz w:val="4"/>
                <w:szCs w:val="4"/>
              </w:rPr>
            </w:r>
          </w:p>
        </w:tc>
        <w:tc>
          <w:tcPr>
            <w:tcW w:w="2379" w:type="dxa"/>
            <w:tcBorders/>
            <w:shd w:fill="auto" w:val="clear"/>
            <w:vAlign w:val="center"/>
          </w:tcPr>
          <w:p>
            <w:pPr>
              <w:pStyle w:val="TableContents"/>
              <w:spacing w:before="0" w:after="283"/>
              <w:rPr>
                <w:sz w:val="4"/>
                <w:szCs w:val="4"/>
              </w:rPr>
            </w:pPr>
            <w:r>
              <w:rPr>
                <w:sz w:val="4"/>
                <w:szCs w:val="4"/>
              </w:rPr>
            </w:r>
          </w:p>
        </w:tc>
        <w:tc>
          <w:tcPr>
            <w:tcW w:w="23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7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18" w:type="dxa"/>
            <w:gridSpan w:val="3"/>
            <w:tcBorders>
              <w:top w:val="sing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D2EDFE"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(36,028)</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18"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expense</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on loss contracts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(79,570)</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(22,287)</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related parties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37,802 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(304,707)</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and deferred revenue with related parties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(51,252)</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95,541 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accruals and provisions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37,243 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settled for stock based compensation</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18"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equity securities</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business acquisition</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09"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(20,227)</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Class A common stock sold in the IPO, net of underwriting discounts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947,991 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IPO costs</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transaction cost related to issuance of membership units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auto" w:val="clear"/>
            <w:vAlign w:val="center"/>
          </w:tcPr>
          <w:p>
            <w:pPr>
              <w:pStyle w:val="TableContents"/>
              <w:spacing w:before="0" w:after="283"/>
              <w:rPr>
                <w:sz w:val="4"/>
                <w:szCs w:val="4"/>
              </w:rPr>
            </w:pPr>
            <w:r>
              <w:rPr>
                <w:sz w:val="4"/>
                <w:szCs w:val="4"/>
              </w:rPr>
            </w:r>
          </w:p>
        </w:tc>
        <w:tc>
          <w:tcPr>
            <w:tcW w:w="12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promissory notes – related parties</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 from line of credit</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to line of credit</w:t>
            </w:r>
          </w:p>
        </w:tc>
        <w:tc>
          <w:tcPr>
            <w:tcW w:w="1109"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D2EDFE"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09"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828,044 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40,236 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09"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684,619 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(63,922)</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of the beginning of the period</w:t>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as of the end of the period</w:t>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722,688 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D2EDFE"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Flows Information</w:t>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D2EDFE"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6" w:type="dxa"/>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tbl>
      <w:tblPr>
        <w:tblW w:w="7838" w:type="dxa"/>
        <w:jc w:val="center"/>
        <w:tblInd w:w="0" w:type="dxa"/>
        <w:tblCellMar>
          <w:top w:w="28" w:type="dxa"/>
          <w:left w:w="28" w:type="dxa"/>
          <w:bottom w:w="28" w:type="dxa"/>
          <w:right w:w="28" w:type="dxa"/>
        </w:tblCellMar>
      </w:tblPr>
      <w:tblGrid>
        <w:gridCol w:w="2104"/>
        <w:gridCol w:w="1844"/>
        <w:gridCol w:w="1856"/>
        <w:gridCol w:w="211"/>
        <w:gridCol w:w="616"/>
        <w:gridCol w:w="109"/>
        <w:gridCol w:w="109"/>
        <w:gridCol w:w="109"/>
        <w:gridCol w:w="109"/>
        <w:gridCol w:w="211"/>
        <w:gridCol w:w="406"/>
        <w:gridCol w:w="154"/>
      </w:tblGrid>
      <w:tr>
        <w:trPr/>
        <w:tc>
          <w:tcPr>
            <w:tcW w:w="2104"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D2EDFE"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financing activities</w:t>
            </w:r>
          </w:p>
        </w:tc>
        <w:tc>
          <w:tcPr>
            <w:tcW w:w="936"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D2EDFE"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deferred offering costs to additional paid-in capital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FLUENCE ENERGY,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270"/>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(this “Report”).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Energy, LLC, along with its wholly owned subsidiaries, is primarily engaged in the construction and sale of battery-based energy storage products and providing operational services and artificial intelligence (AI)-enabled digital applications (“Fluence IQ”) for renewables and storage throughout the world, including the Americas, EMEA, and Asia Pacific regions. Except where the context clearly indicates otherwise, “Fluence,” “we,” “us,” “our” or the “Company” refers to Fluence Energy, Inc. and its wholly owned subsidiaries.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The Company’s CODM reviews financial information on a condensed consolidated basis for purposes of making operating decisions, allocating resources, and evaluating financial performance. As such, the Company has determined that it operates in one operating segment, which corresponds to one reportable segment.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QFH’s Investment in Fluence Energy, LLC</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27, 2020, Fluence Energy, LLC entered into an agreement with QIA Florence Holdings LLC (“QFH” or the “Blocker Company”) for a $125.0 million investment. QFH was issued 18,493,275 Class B units of Fluence Energy, LLC. QFH is an affiliate of the Qatar Investment Authority (“QIA”), the sovereign wealth fund of Qatar, and its subsidiaries and affiliates. At September 30, 2021, the investment was recognized at carrying value within mezzanine equity on the consolidated balance sheets. As part of the transactions related to our initial public offering closed on November 1, 2021, QFH elected to convert their Class B units to the common stock of Fluence Energy Inc., which is a conversion available to all of the holders of Fluence Energy, LLC Class A and Class B units. Accordingly, as of March 31, 2022, no mezzanine equity is recorded on the condensed consolidated balance sheets.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Initial Public Offering and Related Transactions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2021, the Company completed an initial public offering (the “IPO”) and a series of organization transactions (collectively with the IPO, the “Transactions”), in which the Company issued and sold 35,650,000 shares of its Class A common stock, par value $0.00001 per share, at the public offering price of $28.00 per share, which includes the exercise by the underwriters of their option to purchase an additional 4,650,000 shares of the Company’s Class A common stock. The net proceeds to the Company from the IPO were $935.8 million, after deducting underwriting discounts and offering expenses paid by the Company.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following the consummation of the Transactions:</w:t>
      </w:r>
    </w:p>
    <w:p>
      <w:pPr>
        <w:pStyle w:val="TextBody"/>
        <w:spacing w:lineRule="auto" w:line="288" w:before="160" w:after="283"/>
        <w:ind w:left="0" w:right="0" w:hanging="360"/>
        <w:jc w:val="both"/>
        <w:rPr/>
      </w:pPr>
      <w:r>
        <w:rPr>
          <w:color w:val="000000"/>
        </w:rPr>
        <w:t>•</w:t>
      </w:r>
      <w:r>
        <w:rPr>
          <w:rFonts w:ascii="Times New Roman;sans-serif" w:hAnsi="Times New Roman;sans-serif"/>
          <w:b w:val="false"/>
          <w:color w:val="000000"/>
          <w:sz w:val="20"/>
        </w:rPr>
        <w:t>Fluence Energy, Inc. became a holding company. As the sole managing member of Fluence Energy, LLC, Fluence Energy, Inc. controls the business and affairs of Fluence Energy, LLC and its direct and indirect subsidiaries;</w:t>
      </w:r>
    </w:p>
    <w:p>
      <w:pPr>
        <w:pStyle w:val="TextBody"/>
        <w:spacing w:lineRule="auto" w:line="288" w:before="160" w:after="283"/>
        <w:ind w:left="0" w:right="0" w:hanging="360"/>
        <w:jc w:val="both"/>
        <w:rPr/>
      </w:pPr>
      <w:r>
        <w:rPr>
          <w:color w:val="000000"/>
        </w:rPr>
        <w:t>•</w:t>
      </w:r>
      <w:r>
        <w:rPr>
          <w:rFonts w:ascii="Times New Roman;sans-serif" w:hAnsi="Times New Roman;sans-serif"/>
          <w:b w:val="false"/>
          <w:color w:val="000000"/>
          <w:sz w:val="20"/>
        </w:rPr>
        <w:t>Fluence Energy, Inc. owns, directly or indirectly, 54,143,275 LLC Interests in Fluence Energy, LLC, representing approximately 31.6% of the economic interest in Fluence Energy, LLC;</w:t>
      </w:r>
    </w:p>
    <w:p>
      <w:pPr>
        <w:pStyle w:val="TextBody"/>
        <w:spacing w:lineRule="auto" w:line="288" w:before="160" w:after="283"/>
        <w:ind w:left="0" w:right="0" w:hanging="360"/>
        <w:jc w:val="both"/>
        <w:rPr/>
      </w:pPr>
      <w:r>
        <w:rPr>
          <w:color w:val="000000"/>
        </w:rPr>
        <w:t>•</w:t>
      </w:r>
      <w:r>
        <w:rPr>
          <w:rFonts w:ascii="Times New Roman;sans-serif" w:hAnsi="Times New Roman;sans-serif"/>
          <w:b w:val="false"/>
          <w:color w:val="000000"/>
          <w:sz w:val="20"/>
        </w:rPr>
        <w:t>the Founders own 117,173,390 LLC Interests in Fluence Energy, LLC, representing approximately 68.4% of the economic interest in Fluence Energy, LLC;</w:t>
      </w:r>
    </w:p>
    <w:p>
      <w:pPr>
        <w:pStyle w:val="TextBody"/>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investors in our IPO own 35,650,000 shares of Class A common stock of Fluence Energy, Inc., representing approximately 65.8% of the economic interest in Fluence Energy, Inc.; Qatar Holding LLC, the owner of the original Blocker Company owns 18,493,275 shares of Class A common stock of Fluence Energy, Inc., representing approximately 34.2% of the economic interest in Fluence Energy, Inc.; and</w:t>
      </w:r>
    </w:p>
    <w:p>
      <w:pPr>
        <w:pStyle w:val="TextBody"/>
        <w:spacing w:lineRule="auto" w:line="288" w:before="160" w:after="283"/>
        <w:ind w:left="0" w:right="0" w:hanging="360"/>
        <w:jc w:val="both"/>
        <w:rPr/>
      </w:pPr>
      <w:r>
        <w:rPr>
          <w:color w:val="000000"/>
        </w:rPr>
        <w:t>•</w:t>
      </w:r>
      <w:r>
        <w:rPr>
          <w:rFonts w:ascii="Times New Roman;sans-serif" w:hAnsi="Times New Roman;sans-serif"/>
          <w:b w:val="false"/>
          <w:color w:val="000000"/>
          <w:sz w:val="20"/>
        </w:rPr>
        <w:t>the Founders own 117,173,390 shares of Class B-1 common stock of Fluence Energy, Inc.</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rPr/>
      </w:pPr>
      <w:r>
        <w:rPr>
          <w:rFonts w:ascii="Times New Roman;sans-serif" w:hAnsi="Times New Roman;sans-serif"/>
          <w:b w:val="false"/>
          <w:color w:val="000000"/>
          <w:sz w:val="20"/>
        </w:rPr>
        <w:t xml:space="preserve">Refer to Note 19 -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to the audited consolidated financial statements included in our Annual Report on Form 10-K for the fiscal year ended September 30, 2021 (“ 2021 Annual Report”) for a detailed discussion on the IPO and related Transactions.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Estimates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Principles of Accounting and Consolidation</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the sole managing member of Fluence Energy, LLC, Fluence Energy, Inc. operates and controls all the business and affairs of Fluence Energy, LLC and, through Fluence Energy, LLC and its direct and indirect subsidiaries, conducts the Company’s business. Fluence Energy, LLC is a variable interest entity, of which the Fluence Energy, Inc. beneficially owns a 31.6% interest as of March 31, 2022. For accounting purposes, Fluence Energy, Inc. is considered the primary beneficiary and therefore consolidates the results of Fluence Energy, LLC and its direct and indirect subsidiaries. Prior to the IPO, Fluence Energy, Inc. had no operations and had no asset or liabilities. Accordingly, financial results, balances, and other information included herein for periods prior to the IPO are reflective of Fluence Energy, LLC.</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prepared in accordance with U.S. generally accepted accounting principles (U.S. GAAP) and under the rules of the U.S. Securities and Exchange Commission (the “SEC”). The accompanying condensed consolidated financial statements include the accounts of Fluence Energy Inc. and its subsidiaries. All intercompany balances and transactions have been eliminated in consolidation.</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Non-Controlling Interest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non-controlling interest on the condensed consolidated statements of operations and comprehensive loss represents the portion of earnings or loss attributable to the economic interest in Fluence Energy, LLC, held by the Founders. For the six months ended March 31, 2022, the net loss of Fluence Energy, LLC prior to the date of the Transactions has been attributed to the non-controlling interest, and the net loss of Fluence Energy, LLC subsequent to the date of the Transactions has been allocated between Fluence Energy, Inc. and the non-controlling interest based on the respective ownership percentages of Fluence Energy, LLC held by Fluence Energy, Inc. and the Founders. Non-controlling interest on the condensed consolidated balance sheets represents the portion of net assets of the Fluence Energy, LLC attributable to the Founders, based on the portion of the LLC Interests owned by such shareholders. As of March 31, 2022, the non-controlling interest was 68.4%.</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Unaudited Interim Financial Information</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as of March 31, 2022, and for the three and six months ended March 31, 2022 and 2021 are unaudited. These financial statements should be read in conjunction with the Company’s audited financial statements included in our 2021 Annual Report. In our opinion, such unaudited financial statements reflect all adjustments, including normal recurring items, that are necessary for the fair statement of the Company’s financial position as of March 31, 2022, the results of its operations for the three and six months ended March 31, 2022 and 2021, and its cash flows for the six months ended March 31, 2022 and 2021. The financial data and other information disclosed in these notes related to the three and six months ended March 31, 2022 and 2021 are also unaudited. The results for the three and six months ended March 31, 2022 and 2021 are not necessarily indicative of results for the full year ending September 30, 2022 and 2021, any other interim periods, or any future year or period. The balance sheet as of September 30, 2021 included herein was derived from the audited financial statements as of that date. Certain disclosures have been condensed or omitted from the interim financial statements. </w:t>
      </w:r>
    </w:p>
    <w:p>
      <w:pPr>
        <w:pStyle w:val="TextBody"/>
        <w:spacing w:lineRule="auto" w:line="288" w:before="160" w:after="283"/>
        <w:ind w:left="0" w:right="0" w:firstLine="360"/>
        <w:rPr/>
      </w:pPr>
      <w:r>
        <w:rPr>
          <w:rFonts w:ascii="Times New Roman;sans-serif" w:hAnsi="Times New Roman;sans-serif"/>
          <w:b w:val="false"/>
          <w:color w:val="000000"/>
          <w:sz w:val="20"/>
        </w:rPr>
        <w:t xml:space="preserve">For a complete description of our significant accounting policies, refer to Note 2 - </w:t>
      </w:r>
      <w:r>
        <w:rPr>
          <w:rFonts w:ascii="Times New Roman;sans-serif" w:hAnsi="Times New Roman;sans-serif"/>
          <w:b w:val="false"/>
          <w:i/>
          <w:color w:val="000000"/>
          <w:sz w:val="20"/>
        </w:rPr>
        <w:t xml:space="preserve">Summary of Significant Accounting Policies and Estimates </w:t>
      </w:r>
      <w:r>
        <w:rPr>
          <w:rFonts w:ascii="Times New Roman;sans-serif" w:hAnsi="Times New Roman;sans-serif"/>
          <w:b w:val="false"/>
          <w:color w:val="000000"/>
          <w:sz w:val="20"/>
        </w:rPr>
        <w:t>to the audited consolidated financial statements included in our 2021 Annual Report. We include herein certain updates to those policies.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Reclassification</w:t>
      </w:r>
    </w:p>
    <w:p>
      <w:pPr>
        <w:pStyle w:val="TextBody"/>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from “Cost of goods and services” to “Sales and marketing” and “General and administrative” to conform to current period presentation on the condensed consolidated statements of operations and comprehensive loss.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on-hand and highly liquid investments readily convertible to cash, with an original maturity of 90 days or less when purchased.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restricted for use as a result of financing or other obligations is classified separately as restricted cash on the Company’s condensed consolidated balance sheets.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as shown in the Company’s condensed consolidated statements of cash flows.</w:t>
      </w:r>
    </w:p>
    <w:tbl>
      <w:tblPr>
        <w:tblW w:w="10174" w:type="dxa"/>
        <w:jc w:val="left"/>
        <w:tblInd w:w="0" w:type="dxa"/>
        <w:tblCellMar>
          <w:top w:w="28" w:type="dxa"/>
          <w:left w:w="28" w:type="dxa"/>
          <w:bottom w:w="28" w:type="dxa"/>
          <w:right w:w="28" w:type="dxa"/>
        </w:tblCellMar>
      </w:tblPr>
      <w:tblGrid>
        <w:gridCol w:w="2561"/>
        <w:gridCol w:w="2246"/>
        <w:gridCol w:w="2258"/>
        <w:gridCol w:w="232"/>
        <w:gridCol w:w="908"/>
        <w:gridCol w:w="119"/>
        <w:gridCol w:w="109"/>
        <w:gridCol w:w="109"/>
        <w:gridCol w:w="109"/>
        <w:gridCol w:w="109"/>
        <w:gridCol w:w="109"/>
        <w:gridCol w:w="253"/>
        <w:gridCol w:w="867"/>
        <w:gridCol w:w="185"/>
      </w:tblGrid>
      <w:tr>
        <w:trPr/>
        <w:tc>
          <w:tcPr>
            <w:tcW w:w="2561" w:type="dxa"/>
            <w:tcBorders/>
            <w:shd w:fill="auto" w:val="clear"/>
            <w:vAlign w:val="center"/>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c>
          <w:tcPr>
            <w:tcW w:w="225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7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2021</w:t>
            </w:r>
          </w:p>
        </w:tc>
      </w:tr>
      <w:tr>
        <w:trPr/>
        <w:tc>
          <w:tcPr>
            <w:tcW w:w="70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0"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5"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70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shown in the statements of cash flows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722,688 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consisted of the following:</w:t>
      </w:r>
    </w:p>
    <w:tbl>
      <w:tblPr>
        <w:tblW w:w="6695" w:type="dxa"/>
        <w:jc w:val="left"/>
        <w:tblInd w:w="0" w:type="dxa"/>
        <w:tblCellMar>
          <w:top w:w="28" w:type="dxa"/>
          <w:left w:w="28" w:type="dxa"/>
          <w:bottom w:w="28" w:type="dxa"/>
          <w:right w:w="28" w:type="dxa"/>
        </w:tblCellMar>
      </w:tblPr>
      <w:tblGrid>
        <w:gridCol w:w="1299"/>
        <w:gridCol w:w="1140"/>
        <w:gridCol w:w="1146"/>
        <w:gridCol w:w="255"/>
        <w:gridCol w:w="873"/>
        <w:gridCol w:w="132"/>
        <w:gridCol w:w="109"/>
        <w:gridCol w:w="109"/>
        <w:gridCol w:w="109"/>
        <w:gridCol w:w="109"/>
        <w:gridCol w:w="109"/>
        <w:gridCol w:w="280"/>
        <w:gridCol w:w="820"/>
        <w:gridCol w:w="205"/>
      </w:tblGrid>
      <w:tr>
        <w:trPr/>
        <w:tc>
          <w:tcPr>
            <w:tcW w:w="1299"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2021</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 for credit card program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outstanding bank guarantees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69,318 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restricted cash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is used to classify assets and liabilities based on the observable inputs and unobservable inputs used to value the assets and liabilities: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include term deposits with original maturity of less than three months and are recorded at amortized cost. Fair value of cash equivalents approximates the carrying amount using Level 2 inputs. The carrying amounts of trade receivables, accounts payable and short-term debt obligations approximate fair values due to their short maturities using Level 2 inputs.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Loss per Share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of Class A common stock is computed by dividing net loss attributable to Class A common stockholders by the weighted average number of shares of Class A common stock outstanding during the period. Diluted net loss per share of Class A common stock is computed by adjusting the net loss available to Class A common stockholders and the weighted-average shares of Class A common stock outstanding to give effect to potentially dilutive securities. Shares of our Class B-1 and Class B-2 common stock are not entitled to receive any distributions or dividends and have no rights to convert into Class A common stock. When a common unit of Fluence Energy, LLC is exchanged for, at the Company’s election, cash or Class A common stock by a Founder who holds shares of our Class B-1 or Class B-2 common stock,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loss per share. As we have incurred losses for all periods presented, diluted loss per share is equal to basic loss per share because the effect of potentially dilutive securities would be antidilutive. The potentially dilutive securities that were excluded consist of 117,173,390 Class B-1 common shares, 11,286,991 outstanding stock options, 2,167,290 outstanding phantom units, and 979,608 outstanding restricted stock units as of March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earnings prior to and up to November 1, 2021, the date of completion of the IPO, were entirely allocable to non-controlling interest and, as a result, loss per share information is not applicable for reporting periods prior to this date. Consequently, only the net loss allocable to Fluence Energy, Inc. from the period subsequent to November 1, 2021 is included in the net loss attributable to the stockholders of Class A common stock for the six months ended March 31, 2022. Basic and diluted net loss per share of Class A common stock for the three and six months ended March 31, 2022, respectively, have been computed as follows:</w:t>
      </w:r>
    </w:p>
    <w:tbl>
      <w:tblPr>
        <w:tblW w:w="10205" w:type="dxa"/>
        <w:jc w:val="left"/>
        <w:tblInd w:w="0" w:type="dxa"/>
        <w:tblCellMar>
          <w:top w:w="28" w:type="dxa"/>
          <w:left w:w="28" w:type="dxa"/>
          <w:bottom w:w="28" w:type="dxa"/>
          <w:right w:w="28" w:type="dxa"/>
        </w:tblCellMar>
      </w:tblPr>
      <w:tblGrid>
        <w:gridCol w:w="1928"/>
        <w:gridCol w:w="1578"/>
        <w:gridCol w:w="1587"/>
        <w:gridCol w:w="109"/>
        <w:gridCol w:w="109"/>
        <w:gridCol w:w="109"/>
        <w:gridCol w:w="468"/>
        <w:gridCol w:w="1582"/>
        <w:gridCol w:w="219"/>
        <w:gridCol w:w="109"/>
        <w:gridCol w:w="109"/>
        <w:gridCol w:w="109"/>
        <w:gridCol w:w="375"/>
        <w:gridCol w:w="1543"/>
        <w:gridCol w:w="271"/>
      </w:tblGrid>
      <w:tr>
        <w:trPr/>
        <w:tc>
          <w:tcPr>
            <w:tcW w:w="1928"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5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2022</w:t>
            </w:r>
          </w:p>
        </w:tc>
      </w:tr>
      <w:tr>
        <w:trPr/>
        <w:tc>
          <w:tcPr>
            <w:tcW w:w="50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(60,704)</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(172,164)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the non-controlling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(41,519)</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Fluence Energy,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(19,185)</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54,143,275 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54,143,275 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3"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 of Class A common stock, basic and diluted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468"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2"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21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75"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3"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Accounting Standards Adopted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new accounting standards were adopted during the six months ended March 31, 2022.</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Standards Not Yet Adopted</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accounting standards not yet adopted:</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792"/>
        <w:gridCol w:w="318"/>
        <w:gridCol w:w="321"/>
        <w:gridCol w:w="1675"/>
        <w:gridCol w:w="1675"/>
        <w:gridCol w:w="1688"/>
        <w:gridCol w:w="883"/>
        <w:gridCol w:w="493"/>
        <w:gridCol w:w="475"/>
        <w:gridCol w:w="743"/>
        <w:gridCol w:w="471"/>
        <w:gridCol w:w="671"/>
      </w:tblGrid>
      <w:tr>
        <w:trPr/>
        <w:tc>
          <w:tcPr>
            <w:tcW w:w="792"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14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Standard</w:t>
            </w:r>
          </w:p>
        </w:tc>
        <w:tc>
          <w:tcPr>
            <w:tcW w:w="503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8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Required date of adoption </w:t>
            </w:r>
          </w:p>
        </w:tc>
        <w:tc>
          <w:tcPr>
            <w:tcW w:w="18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Effect on the financial statements and other significant matters</w:t>
            </w:r>
          </w:p>
        </w:tc>
      </w:tr>
      <w:tr>
        <w:trPr/>
        <w:tc>
          <w:tcPr>
            <w:tcW w:w="14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ASU 2016-02, </w:t>
            </w:r>
            <w:r>
              <w:rPr>
                <w:rFonts w:ascii="Times New Roman;sans-serif" w:hAnsi="Times New Roman;sans-serif"/>
                <w:b w:val="false"/>
                <w:i/>
                <w:color w:val="000000"/>
                <w:sz w:val="20"/>
              </w:rPr>
              <w:t>Leases (Topic 842)</w:t>
            </w:r>
          </w:p>
        </w:tc>
        <w:tc>
          <w:tcPr>
            <w:tcW w:w="50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In February 2016, the Financial Accounting Standard Board (“FASB”) issued ASU 2016-02, which supersedes existing guidance on accounting for leases in ASC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This standard requires all leases to be recognized on the consolidated balance sheet. FASB has issued several amendments to ASU 2016-02, including ASU 2018-11, </w:t>
            </w:r>
            <w:r>
              <w:rPr>
                <w:rFonts w:ascii="Times New Roman;sans-serif" w:hAnsi="Times New Roman;sans-serif"/>
                <w:b w:val="false"/>
                <w:i/>
                <w:color w:val="000000"/>
                <w:sz w:val="20"/>
              </w:rPr>
              <w:t>Leases (Topic 842)</w:t>
            </w:r>
            <w:r>
              <w:rPr>
                <w:rFonts w:ascii="Times New Roman;sans-serif" w:hAnsi="Times New Roman;sans-serif"/>
                <w:b w:val="false"/>
                <w:color w:val="000000"/>
                <w:sz w:val="20"/>
              </w:rPr>
              <w:t>: Targeted Improvements that introduced an additional transition method permitting an entity to initially apply the new lease standard at the adoption date and recognize a cumulative-effect adjustment to the opening balance of retained earnings in the period of adoption. ASU 2016-02 includes optional practical expedients intended to reduce the cost and complexity to implement the new lease standard, such as an option to maintain the current lease classification for all existing lease arrangements and the option to use hindsight in evaluating lessee options to extend or terminate a lease. Early application is permitted.</w:t>
            </w:r>
          </w:p>
        </w:tc>
        <w:tc>
          <w:tcPr>
            <w:tcW w:w="18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(an “EGC”), the Company is permitted to defer adoption until the non-public company adoption date, i.e., annual periods starting after December 15, 2021.</w:t>
            </w:r>
          </w:p>
        </w:tc>
        <w:tc>
          <w:tcPr>
            <w:tcW w:w="18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existing lease population is mainly comprised of operating leases for office space. The Company is currently evaluating the impact of adoption on its consolidated financial statements.</w:t>
            </w:r>
          </w:p>
        </w:tc>
      </w:tr>
      <w:tr>
        <w:trPr/>
        <w:tc>
          <w:tcPr>
            <w:tcW w:w="14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ASU 2016-13, </w:t>
            </w:r>
            <w:r>
              <w:rPr>
                <w:rFonts w:ascii="Times New Roman;sans-serif" w:hAnsi="Times New Roman;sans-serif"/>
                <w:b w:val="false"/>
                <w:i/>
                <w:color w:val="000000"/>
                <w:sz w:val="20"/>
              </w:rPr>
              <w:t>Financial Instruments—Credit Losses (Topic 326)</w:t>
            </w:r>
          </w:p>
        </w:tc>
        <w:tc>
          <w:tcPr>
            <w:tcW w:w="503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2016, FASB issued ASU 2016-13, which updates the impairment model for financial assets measured at amortized cost, known as the Current Expected Credit Loss (“CECL”) model. For trade and other receivables, held-to-maturity debt securities, loans and other instruments, entities will be required to use a new forward-looking “expected loss” model that generally will result in the earlier recognition of allowance for losses. There are various transition methods available upon adoption. Early adoption is permitted.</w:t>
            </w:r>
          </w:p>
        </w:tc>
        <w:tc>
          <w:tcPr>
            <w:tcW w:w="18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an EGC, the Company is permitted to defer adoption until the non-public company adoption date, i.e., annual periods starting after December 15, 2022.</w:t>
            </w:r>
          </w:p>
        </w:tc>
        <w:tc>
          <w:tcPr>
            <w:tcW w:w="18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evaluating the impact of adoption on its consolidated financial statements.</w:t>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572"/>
        <w:gridCol w:w="502"/>
        <w:gridCol w:w="509"/>
        <w:gridCol w:w="1422"/>
        <w:gridCol w:w="1422"/>
        <w:gridCol w:w="1433"/>
        <w:gridCol w:w="767"/>
        <w:gridCol w:w="540"/>
        <w:gridCol w:w="542"/>
        <w:gridCol w:w="970"/>
        <w:gridCol w:w="629"/>
        <w:gridCol w:w="897"/>
      </w:tblGrid>
      <w:tr>
        <w:trPr/>
        <w:tc>
          <w:tcPr>
            <w:tcW w:w="572"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r>
      <w:tr>
        <w:trPr/>
        <w:tc>
          <w:tcPr>
            <w:tcW w:w="15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Standard</w:t>
            </w:r>
          </w:p>
        </w:tc>
        <w:tc>
          <w:tcPr>
            <w:tcW w:w="4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Required date of adoption </w:t>
            </w:r>
          </w:p>
        </w:tc>
        <w:tc>
          <w:tcPr>
            <w:tcW w:w="24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Effect on the financial statements and other significant matters</w:t>
            </w:r>
          </w:p>
        </w:tc>
      </w:tr>
      <w:tr>
        <w:trPr/>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ASU 2019-12, </w:t>
            </w:r>
            <w:r>
              <w:rPr>
                <w:rFonts w:ascii="Times New Roman;sans-serif" w:hAnsi="Times New Roman;sans-serif"/>
                <w:b w:val="false"/>
                <w:i/>
                <w:color w:val="000000"/>
                <w:sz w:val="20"/>
              </w:rPr>
              <w:t>Income Taxes (Topic 740)</w:t>
            </w:r>
            <w:r>
              <w:rPr>
                <w:rFonts w:ascii="Times New Roman;sans-serif" w:hAnsi="Times New Roman;sans-serif"/>
                <w:b w:val="false"/>
                <w:color w:val="000000"/>
                <w:sz w:val="20"/>
              </w:rPr>
              <w:t>: Simplifying the Accounting for Income Taxes</w:t>
            </w:r>
          </w:p>
        </w:tc>
        <w:tc>
          <w:tcPr>
            <w:tcW w:w="42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2019, FASB issued ASU 2019-12, which removes certain exceptions related to the approach for intraperiod tax allocations, the methodology for calculating income taxes in an interim period, and the recognition of deferred tax liabilities for outside basis differences. The guidance also clarifies and simplifies other areas of ASC 740. Certain amendments must be applied on a prospective basis, certain amendments must be applied on a retrospective basis, and certain amendments must be applied on a modified retrospective basis through a cumulative-effect adjustment to retained earnings/(deficit) in the period of adoption. Early adoption is permitted.</w:t>
            </w:r>
          </w:p>
        </w:tc>
        <w:tc>
          <w:tcPr>
            <w:tcW w:w="18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an EGC, the Company is permitted to defer adoption until the non-public company adoption date, i.e., annual periods starting December 15, 2021, and for interim periods beginning after December 15, 2022. </w:t>
            </w:r>
          </w:p>
        </w:tc>
        <w:tc>
          <w:tcPr>
            <w:tcW w:w="24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evaluating the impact of adoption on its consolidated financial statements.</w:t>
            </w:r>
          </w:p>
        </w:tc>
      </w:tr>
      <w:tr>
        <w:trPr/>
        <w:tc>
          <w:tcPr>
            <w:tcW w:w="158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ASU 2020-04, </w:t>
            </w:r>
            <w:r>
              <w:rPr>
                <w:rFonts w:ascii="Times New Roman;sans-serif" w:hAnsi="Times New Roman;sans-serif"/>
                <w:b w:val="false"/>
                <w:i/>
                <w:color w:val="000000"/>
                <w:sz w:val="20"/>
              </w:rPr>
              <w:t>Facilitation of the Effects of Reference Rate Reform on Financial Reporting (Topic 848)</w:t>
            </w:r>
          </w:p>
        </w:tc>
        <w:tc>
          <w:tcPr>
            <w:tcW w:w="427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2020, FASB issued ASU 2020-04, which provides optional expedients and exceptions for applying U.S. GAAP to transactions affected by reference rate (e.g., LIBOR) reform if certain criteria are met, for a limited period of time to ease the potential burden in accounting for (or recognizing the effects of) reference rate reform on financial reporting.</w:t>
            </w:r>
          </w:p>
        </w:tc>
        <w:tc>
          <w:tcPr>
            <w:tcW w:w="18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ASU is effective as of March 12, 2020 through December 31, 2022. </w:t>
            </w:r>
          </w:p>
        </w:tc>
        <w:tc>
          <w:tcPr>
            <w:tcW w:w="24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evaluating transactions or contract modifications occurring as a result of reference rate reform and determining whether to apply the optional guidance on an ongoing basis. The ASU is currently not expected to have a material impact on our consolidated financial statements.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270"/>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primarily derived from sales of our energy storage products. The following table presents the Company’s revenue disaggregated by geographical region. Revenues are attributed to regions based on location of customers.</w:t>
      </w:r>
    </w:p>
    <w:tbl>
      <w:tblPr>
        <w:tblW w:w="9612" w:type="dxa"/>
        <w:jc w:val="left"/>
        <w:tblInd w:w="0" w:type="dxa"/>
        <w:tblCellMar>
          <w:top w:w="28" w:type="dxa"/>
          <w:left w:w="28" w:type="dxa"/>
          <w:bottom w:w="28" w:type="dxa"/>
          <w:right w:w="28" w:type="dxa"/>
        </w:tblCellMar>
      </w:tblPr>
      <w:tblGrid>
        <w:gridCol w:w="1370"/>
        <w:gridCol w:w="1202"/>
        <w:gridCol w:w="1208"/>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370"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378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Americas (North, Central and South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 (Asia Pacific)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 (Europe, Middle-East and Africa)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Deferred Revenue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represents the excess billings over the amount of revenue recognized to date. Deferred revenue from related parties is included in payables and deferred revenue with related parties on the Company’s condensed consolidated balance sheets. The following table provides information about deferred revenue from contracts with customers:</w:t>
      </w:r>
    </w:p>
    <w:tbl>
      <w:tblPr>
        <w:tblW w:w="10205" w:type="dxa"/>
        <w:jc w:val="left"/>
        <w:tblInd w:w="0" w:type="dxa"/>
        <w:tblCellMar>
          <w:top w:w="28" w:type="dxa"/>
          <w:left w:w="28" w:type="dxa"/>
          <w:bottom w:w="28" w:type="dxa"/>
          <w:right w:w="28" w:type="dxa"/>
        </w:tblCellMar>
      </w:tblPr>
      <w:tblGrid>
        <w:gridCol w:w="1567"/>
        <w:gridCol w:w="1346"/>
        <w:gridCol w:w="135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67"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26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196"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26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7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75"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167,988 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spacing w:lineRule="auto" w:line="26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amounts that were included in beginning balance of deferred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period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208,901 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567"/>
        <w:gridCol w:w="1346"/>
        <w:gridCol w:w="135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67"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26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175"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26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7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175"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103,831 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61"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related to amounts that were included in beginning balance of deferred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1"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from related parties end of period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112,079 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Customer and Supplier Concentration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March 31, 2022, the Company had one customer that accounted for approximately 70% of total revenue.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March 31, 2021, our top three customers, in the aggregate, accounted for approximately 77% of total revenue.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limited number of suppliers of batteries, which is a major component of energy storage products.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which include deferred revenue and amounts that will be billed and recognized as revenue in future periods. The Company’s backlog may vary significantly each reporting period based on the timing of major new contract commitments and the backlog may fluctuate with currency movements. In addition, the Company’s customers have the right, under some circumstances, to terminate contracts or defer the timing of its services and their payments to the Company.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the Company had a total of $2,150.1 million of remaining performance obligations related to our contractual commitments, of which we expect to recognize 91% in revenue in the next five years and the remainder after five years. </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Variable Consideration</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As of March 31, 2022 and September 30, 2021, the transaction prices of our active energy solution contracts have been reduced to reflect variable consideration of </w:t>
      </w:r>
      <w:r>
        <w:rPr>
          <w:rFonts w:ascii="Times New Roman;sans-serif" w:hAnsi="Times New Roman;sans-serif"/>
          <w:b w:val="false"/>
          <w:color w:val="000000"/>
          <w:sz w:val="20"/>
          <w:highlight w:val="white"/>
        </w:rPr>
        <w:t>$52.1 million</w:t>
      </w:r>
      <w:r>
        <w:rPr>
          <w:color w:val="000000"/>
        </w:rPr>
        <w:t xml:space="preserve"> </w:t>
      </w:r>
      <w:r>
        <w:rPr>
          <w:rFonts w:ascii="Times New Roman;sans-serif" w:hAnsi="Times New Roman;sans-serif"/>
          <w:b w:val="false"/>
          <w:color w:val="000000"/>
          <w:sz w:val="20"/>
        </w:rPr>
        <w:t>and $52.8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270"/>
        <w:rPr>
          <w:rFonts w:ascii="Times New Roman;sans-serif" w:hAnsi="Times New Roman;sans-serif"/>
          <w:b/>
          <w:color w:val="000000"/>
          <w:sz w:val="20"/>
        </w:rPr>
      </w:pPr>
      <w:r>
        <w:rPr>
          <w:rFonts w:ascii="Times New Roman;sans-serif" w:hAnsi="Times New Roman;sans-serif"/>
          <w:b/>
          <w:color w:val="000000"/>
          <w:sz w:val="20"/>
        </w:rPr>
        <w:t>4.    Business Combinations</w:t>
      </w:r>
    </w:p>
    <w:p>
      <w:pPr>
        <w:pStyle w:val="TextBody"/>
        <w:spacing w:lineRule="auto" w:line="288" w:before="160" w:after="283"/>
        <w:ind w:left="0" w:right="0" w:firstLine="360"/>
        <w:rPr/>
      </w:pPr>
      <w:r>
        <w:rPr>
          <w:rFonts w:ascii="Times New Roman;sans-serif" w:hAnsi="Times New Roman;sans-serif"/>
          <w:b w:val="false"/>
          <w:color w:val="000000"/>
          <w:sz w:val="20"/>
        </w:rPr>
        <w:t xml:space="preserve">During October 2020, the Company acquired the assets and assumed the liabilities of a US based software and digital intelligence platform. The acquisition has offered new capabilities, amplified and extended the Company’s energy storage product line, enabling customers to maximize the value of energy storage and renewables while accelerating grid decarbonization. The acquisition price of $18.0 million was fully paid with cash, and was adjusted for an immaterial amount to account for changes in net working capital adjustments. The acquisition represents a business combination under ASC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The Company has included the financial results of the acquisition in its consolidated financial statements from the date of acquisition. Transaction costs associated with the acquisition were not significant and were expensed as incurred. The following table summarizes the aggregate fair values and estimated useful lives of the assets acquired and liabilities assumed, as of the date of the acquisition.</w:t>
      </w:r>
    </w:p>
    <w:tbl>
      <w:tblPr>
        <w:tblW w:w="6827" w:type="dxa"/>
        <w:jc w:val="left"/>
        <w:tblInd w:w="0" w:type="dxa"/>
        <w:tblCellMar>
          <w:top w:w="28" w:type="dxa"/>
          <w:left w:w="28" w:type="dxa"/>
          <w:bottom w:w="28" w:type="dxa"/>
          <w:right w:w="28" w:type="dxa"/>
        </w:tblCellMar>
      </w:tblPr>
      <w:tblGrid>
        <w:gridCol w:w="1267"/>
        <w:gridCol w:w="1111"/>
        <w:gridCol w:w="1117"/>
        <w:gridCol w:w="211"/>
        <w:gridCol w:w="721"/>
        <w:gridCol w:w="109"/>
        <w:gridCol w:w="109"/>
        <w:gridCol w:w="109"/>
        <w:gridCol w:w="109"/>
        <w:gridCol w:w="574"/>
        <w:gridCol w:w="574"/>
        <w:gridCol w:w="816"/>
      </w:tblGrid>
      <w:tr>
        <w:trPr/>
        <w:tc>
          <w:tcPr>
            <w:tcW w:w="126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years</w:t>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Customer relationships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years</w:t>
            </w:r>
          </w:p>
        </w:tc>
      </w:tr>
      <w:tr>
        <w:trPr/>
        <w:tc>
          <w:tcPr>
            <w:tcW w:w="3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Various</w:t>
            </w:r>
          </w:p>
        </w:tc>
      </w:tr>
      <w:tr>
        <w:trPr/>
        <w:tc>
          <w:tcPr>
            <w:tcW w:w="3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964"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developed technology was determined using the multi-period excess earnings method as developed technology is considered to be the primary revenue-generating identifiable intangible asset acquired in the acquisition. The fair value assigned to assets acquired and liabilities assumed are based on management’s estimates and assumptions.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goodwill is primarily attributed to the expanded market opportunities when integrating the acquired entity’s technology with the Company’s technology and the assembled workforce. The excess of the acquisition price over the fair value of assets acquired and liabilities assumed was recorded to goodwill. The Company expects such goodwill to be deductible for income tax purposes. Purchase accounting adjustments related to the acquisition have been completed.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270"/>
        <w:rPr>
          <w:rFonts w:ascii="Times New Roman;sans-serif" w:hAnsi="Times New Roman;sans-serif"/>
          <w:b/>
          <w:color w:val="000000"/>
          <w:sz w:val="20"/>
        </w:rPr>
      </w:pPr>
      <w:r>
        <w:rPr>
          <w:rFonts w:ascii="Times New Roman;sans-serif" w:hAnsi="Times New Roman;sans-serif"/>
          <w:b/>
          <w:color w:val="000000"/>
          <w:sz w:val="20"/>
        </w:rPr>
        <w:t>5.    Inventory, Net</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Inventory consisted of the following:</w:t>
      </w:r>
    </w:p>
    <w:tbl>
      <w:tblPr>
        <w:tblW w:w="10205" w:type="dxa"/>
        <w:jc w:val="left"/>
        <w:tblInd w:w="0" w:type="dxa"/>
        <w:tblCellMar>
          <w:top w:w="28" w:type="dxa"/>
          <w:left w:w="28" w:type="dxa"/>
          <w:bottom w:w="28" w:type="dxa"/>
          <w:right w:w="28" w:type="dxa"/>
        </w:tblCellMar>
      </w:tblPr>
      <w:tblGrid>
        <w:gridCol w:w="696"/>
        <w:gridCol w:w="595"/>
        <w:gridCol w:w="597"/>
        <w:gridCol w:w="211"/>
        <w:gridCol w:w="826"/>
        <w:gridCol w:w="109"/>
        <w:gridCol w:w="109"/>
        <w:gridCol w:w="109"/>
        <w:gridCol w:w="109"/>
        <w:gridCol w:w="211"/>
        <w:gridCol w:w="653"/>
        <w:gridCol w:w="109"/>
        <w:gridCol w:w="109"/>
        <w:gridCol w:w="109"/>
        <w:gridCol w:w="109"/>
        <w:gridCol w:w="211"/>
        <w:gridCol w:w="826"/>
        <w:gridCol w:w="109"/>
        <w:gridCol w:w="109"/>
        <w:gridCol w:w="109"/>
        <w:gridCol w:w="109"/>
        <w:gridCol w:w="211"/>
        <w:gridCol w:w="826"/>
        <w:gridCol w:w="109"/>
        <w:gridCol w:w="109"/>
        <w:gridCol w:w="109"/>
        <w:gridCol w:w="109"/>
        <w:gridCol w:w="211"/>
        <w:gridCol w:w="758"/>
        <w:gridCol w:w="109"/>
        <w:gridCol w:w="109"/>
        <w:gridCol w:w="109"/>
        <w:gridCol w:w="109"/>
        <w:gridCol w:w="211"/>
        <w:gridCol w:w="826"/>
        <w:gridCol w:w="156"/>
      </w:tblGrid>
      <w:tr>
        <w:trPr/>
        <w:tc>
          <w:tcPr>
            <w:tcW w:w="696"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88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91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7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2021</w:t>
            </w:r>
          </w:p>
        </w:tc>
      </w:tr>
      <w:tr>
        <w:trPr/>
        <w:tc>
          <w:tcPr>
            <w:tcW w:w="188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8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Cubes, batteries, and other equipment </w:t>
            </w:r>
            <w:r>
              <w:rPr>
                <w:rFonts w:ascii="Times New Roman;sans-serif" w:hAnsi="Times New Roman;sans-serif"/>
                <w:b w:val="false"/>
                <w:i/>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Shipping containers and spare parts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389,787 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i/>
          <w:color w:val="000000"/>
          <w:sz w:val="16"/>
        </w:rPr>
      </w:pPr>
      <w:r>
        <w:rPr>
          <w:rFonts w:ascii="Times New Roman;sans-serif" w:hAnsi="Times New Roman;sans-serif"/>
          <w:b w:val="false"/>
          <w:i/>
          <w:color w:val="000000"/>
          <w:sz w:val="16"/>
        </w:rPr>
        <w:t>(a) Provision at September 30, 2021 included a $13.0 million loss recognized during fiscal year 2021 for inventory damaged in transit related to the 2021 cargo loss incident. During the six months ended March 31, 2022, $13.0 million of inventory was written off against the provision. Refer to Note 12 - Commitments and Contingencies for a detailed discussion of the 2021 cargo loss incident.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270"/>
        <w:rPr>
          <w:rFonts w:ascii="Times New Roman;sans-serif" w:hAnsi="Times New Roman;sans-serif"/>
          <w:b/>
          <w:color w:val="000000"/>
          <w:sz w:val="20"/>
        </w:rPr>
      </w:pPr>
      <w:r>
        <w:rPr>
          <w:rFonts w:ascii="Times New Roman;sans-serif" w:hAnsi="Times New Roman;sans-serif"/>
          <w:b/>
          <w:color w:val="000000"/>
          <w:sz w:val="20"/>
        </w:rPr>
        <w:t>6.    Other Current Assets</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consisted of the following amounts:</w:t>
      </w:r>
    </w:p>
    <w:tbl>
      <w:tblPr>
        <w:tblW w:w="6145" w:type="dxa"/>
        <w:jc w:val="left"/>
        <w:tblInd w:w="0" w:type="dxa"/>
        <w:tblCellMar>
          <w:top w:w="28" w:type="dxa"/>
          <w:left w:w="28" w:type="dxa"/>
          <w:bottom w:w="28" w:type="dxa"/>
          <w:right w:w="28" w:type="dxa"/>
        </w:tblCellMar>
      </w:tblPr>
      <w:tblGrid>
        <w:gridCol w:w="929"/>
        <w:gridCol w:w="815"/>
        <w:gridCol w:w="820"/>
        <w:gridCol w:w="292"/>
        <w:gridCol w:w="998"/>
        <w:gridCol w:w="150"/>
        <w:gridCol w:w="109"/>
        <w:gridCol w:w="109"/>
        <w:gridCol w:w="109"/>
        <w:gridCol w:w="352"/>
        <w:gridCol w:w="1205"/>
        <w:gridCol w:w="257"/>
      </w:tblGrid>
      <w:tr>
        <w:trPr/>
        <w:tc>
          <w:tcPr>
            <w:tcW w:w="929"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2021</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recoverable</w:t>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14,049 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w:t>
            </w:r>
          </w:p>
        </w:tc>
        <w:tc>
          <w:tcPr>
            <w:tcW w:w="1290" w:type="dxa"/>
            <w:gridSpan w:val="2"/>
            <w:tcBorders/>
            <w:shd w:fill="CCEE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Receivable from insurance </w:t>
            </w:r>
            <w:r>
              <w:rPr>
                <w:rFonts w:ascii="Times New Roman;sans-serif" w:hAnsi="Times New Roman;sans-serif"/>
                <w:b w:val="false"/>
                <w:i/>
                <w:color w:val="000000"/>
                <w:sz w:val="13"/>
              </w:rPr>
              <w:t>(a)</w:t>
            </w:r>
          </w:p>
        </w:tc>
        <w:tc>
          <w:tcPr>
            <w:tcW w:w="1290"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equity issuance costs</w:t>
            </w:r>
          </w:p>
        </w:tc>
        <w:tc>
          <w:tcPr>
            <w:tcW w:w="1290" w:type="dxa"/>
            <w:gridSpan w:val="2"/>
            <w:tcBorders/>
            <w:shd w:fill="CCEEFF" w:val="clear"/>
            <w:tcMar>
              <w:top w:w="0" w:type="dxa"/>
              <w:left w:w="0" w:type="dxa"/>
              <w:bottom w:w="0" w:type="dxa"/>
              <w:right w:w="0" w:type="dxa"/>
            </w:tcMar>
            <w:vAlign w:val="center"/>
          </w:tcPr>
          <w:p>
            <w:pPr>
              <w:pStyle w:val="TableContents"/>
              <w:spacing w:lineRule="auto" w:line="21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290" w:type="dxa"/>
            <w:gridSpan w:val="2"/>
            <w:tcBorders/>
            <w:shd w:fill="FFFF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1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41,917 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i/>
          <w:color w:val="000000"/>
          <w:sz w:val="16"/>
        </w:rPr>
      </w:pPr>
      <w:r>
        <w:rPr>
          <w:rFonts w:ascii="Times New Roman;sans-serif" w:hAnsi="Times New Roman;sans-serif"/>
          <w:b w:val="false"/>
          <w:i/>
          <w:color w:val="000000"/>
          <w:sz w:val="16"/>
        </w:rPr>
        <w:t>(a) Receivable from insurance represents insurance recoveries that are probable of collection related to the 2021 cargo loss incident. The Company collected $7.5 million receivable from insurance during the six months ended March 31, 2022. Refer to Note 12 - Commitments and Contingencies for a detailed discussion of the 2021 cargo loss incident.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270"/>
        <w:rPr>
          <w:rFonts w:ascii="Times New Roman;sans-serif" w:hAnsi="Times New Roman;sans-serif"/>
          <w:b/>
          <w:color w:val="000000"/>
          <w:sz w:val="20"/>
        </w:rPr>
      </w:pPr>
      <w:r>
        <w:rPr>
          <w:rFonts w:ascii="Times New Roman;sans-serif" w:hAnsi="Times New Roman;sans-serif"/>
          <w:b/>
          <w:color w:val="000000"/>
          <w:sz w:val="20"/>
        </w:rPr>
        <w:t>7.    Intangible Assets, Net</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Intangible assets are stated at amortized cost and consist of the following:</w:t>
      </w:r>
    </w:p>
    <w:tbl>
      <w:tblPr>
        <w:tblW w:w="10205" w:type="dxa"/>
        <w:jc w:val="left"/>
        <w:tblInd w:w="0" w:type="dxa"/>
        <w:tblCellMar>
          <w:top w:w="28" w:type="dxa"/>
          <w:left w:w="28" w:type="dxa"/>
          <w:bottom w:w="28" w:type="dxa"/>
          <w:right w:w="28" w:type="dxa"/>
        </w:tblCellMar>
      </w:tblPr>
      <w:tblGrid>
        <w:gridCol w:w="661"/>
        <w:gridCol w:w="551"/>
        <w:gridCol w:w="554"/>
        <w:gridCol w:w="109"/>
        <w:gridCol w:w="109"/>
        <w:gridCol w:w="109"/>
        <w:gridCol w:w="211"/>
        <w:gridCol w:w="721"/>
        <w:gridCol w:w="109"/>
        <w:gridCol w:w="109"/>
        <w:gridCol w:w="109"/>
        <w:gridCol w:w="109"/>
        <w:gridCol w:w="224"/>
        <w:gridCol w:w="791"/>
        <w:gridCol w:w="118"/>
        <w:gridCol w:w="109"/>
        <w:gridCol w:w="109"/>
        <w:gridCol w:w="109"/>
        <w:gridCol w:w="211"/>
        <w:gridCol w:w="721"/>
        <w:gridCol w:w="109"/>
        <w:gridCol w:w="109"/>
        <w:gridCol w:w="109"/>
        <w:gridCol w:w="109"/>
        <w:gridCol w:w="211"/>
        <w:gridCol w:w="721"/>
        <w:gridCol w:w="109"/>
        <w:gridCol w:w="109"/>
        <w:gridCol w:w="109"/>
        <w:gridCol w:w="109"/>
        <w:gridCol w:w="224"/>
        <w:gridCol w:w="791"/>
        <w:gridCol w:w="118"/>
        <w:gridCol w:w="109"/>
        <w:gridCol w:w="109"/>
        <w:gridCol w:w="109"/>
        <w:gridCol w:w="211"/>
        <w:gridCol w:w="721"/>
        <w:gridCol w:w="156"/>
      </w:tblGrid>
      <w:tr>
        <w:trPr/>
        <w:tc>
          <w:tcPr>
            <w:tcW w:w="66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76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1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2021</w:t>
            </w:r>
          </w:p>
        </w:tc>
      </w:tr>
      <w:tr>
        <w:trPr/>
        <w:tc>
          <w:tcPr>
            <w:tcW w:w="176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7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licenses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Developed technology </w:t>
            </w:r>
            <w:r>
              <w:rPr>
                <w:rFonts w:ascii="Times New Roman;sans-serif" w:hAnsi="Times New Roman;sans-serif"/>
                <w:b w:val="false"/>
                <w:i/>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i/>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rFonts w:ascii="Times New Roman;sans-serif" w:hAnsi="Times New Roman;sans-serif"/>
          <w:b w:val="false"/>
          <w:i/>
          <w:color w:val="000000"/>
          <w:sz w:val="16"/>
        </w:rPr>
      </w:pPr>
      <w:r>
        <w:rPr>
          <w:rFonts w:ascii="Times New Roman;sans-serif" w:hAnsi="Times New Roman;sans-serif"/>
          <w:b w:val="false"/>
          <w:i/>
          <w:color w:val="000000"/>
          <w:sz w:val="16"/>
        </w:rPr>
        <w:t>(a) The developed technology intangible assets and other intangible assets included $12.6 million and $0.8 million, respectively, related to the business acquisition discussed in Note 4 - Business Combinations.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amortized over their estimated useful lives on a straight-line basis. Total amortization expense for the three months ended March 31, 2022 and 2021 was $0.9 million and $0.9 million, respectively. Total amortization expense for the six months ended March 31, 2022 and 2021 was $1.8 million and $1.7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270"/>
        <w:rPr>
          <w:rFonts w:ascii="Times New Roman;sans-serif" w:hAnsi="Times New Roman;sans-serif"/>
          <w:b/>
          <w:color w:val="000000"/>
          <w:sz w:val="20"/>
        </w:rPr>
      </w:pPr>
      <w:r>
        <w:rPr>
          <w:rFonts w:ascii="Times New Roman;sans-serif" w:hAnsi="Times New Roman;sans-serif"/>
          <w:b/>
          <w:color w:val="000000"/>
          <w:sz w:val="20"/>
        </w:rPr>
        <w:t>8.    Goodwill</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was recognized for the six months ended March 31, 2022 and 2021, respectively. The following table presents the goodwill activity:</w:t>
      </w:r>
    </w:p>
    <w:tbl>
      <w:tblPr>
        <w:tblW w:w="5519" w:type="dxa"/>
        <w:jc w:val="left"/>
        <w:tblInd w:w="0" w:type="dxa"/>
        <w:tblCellMar>
          <w:top w:w="28" w:type="dxa"/>
          <w:left w:w="28" w:type="dxa"/>
          <w:bottom w:w="28" w:type="dxa"/>
          <w:right w:w="28" w:type="dxa"/>
        </w:tblCellMar>
      </w:tblPr>
      <w:tblGrid>
        <w:gridCol w:w="1060"/>
        <w:gridCol w:w="930"/>
        <w:gridCol w:w="935"/>
        <w:gridCol w:w="244"/>
        <w:gridCol w:w="712"/>
        <w:gridCol w:w="126"/>
        <w:gridCol w:w="126"/>
        <w:gridCol w:w="126"/>
        <w:gridCol w:w="126"/>
        <w:gridCol w:w="244"/>
        <w:gridCol w:w="712"/>
        <w:gridCol w:w="178"/>
      </w:tblGrid>
      <w:tr>
        <w:trPr/>
        <w:tc>
          <w:tcPr>
            <w:tcW w:w="106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292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5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196"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292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Beginning of the period</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adjustment</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top w:val="single" w:sz="2" w:space="0" w:color="FFFFFF"/>
            </w:tcBorders>
            <w:shd w:fill="CCEEFF" w:val="clear"/>
            <w:tcMar>
              <w:top w:w="3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 xml:space="preserve">Acquisition related goodwill </w:t>
            </w:r>
            <w:r>
              <w:rPr>
                <w:rFonts w:ascii="Times New Roman;sans-serif" w:hAnsi="Times New Roman;sans-serif"/>
                <w:b w:val="false"/>
                <w:i/>
                <w:color w:val="000000"/>
                <w:sz w:val="13"/>
              </w:rPr>
              <w:t xml:space="preserve">(a) </w:t>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End of the period</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0" w:after="283"/>
        <w:rPr>
          <w:rFonts w:ascii="Times New Roman;sans-serif" w:hAnsi="Times New Roman;sans-serif"/>
          <w:b w:val="false"/>
          <w:i/>
          <w:color w:val="000000"/>
          <w:sz w:val="16"/>
        </w:rPr>
      </w:pPr>
      <w:r>
        <w:rPr>
          <w:rFonts w:ascii="Times New Roman;sans-serif" w:hAnsi="Times New Roman;sans-serif"/>
          <w:b w:val="false"/>
          <w:i/>
          <w:color w:val="000000"/>
          <w:sz w:val="16"/>
        </w:rPr>
        <w:t>(a) Refer to Note 4 - Business Combination for a further discussion of acquisition related goodwill.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270"/>
        <w:rPr>
          <w:rFonts w:ascii="Times New Roman;sans-serif" w:hAnsi="Times New Roman;sans-serif"/>
          <w:b/>
          <w:color w:val="000000"/>
          <w:sz w:val="20"/>
        </w:rPr>
      </w:pPr>
      <w:r>
        <w:rPr>
          <w:rFonts w:ascii="Times New Roman;sans-serif" w:hAnsi="Times New Roman;sans-serif"/>
          <w:b/>
          <w:color w:val="000000"/>
          <w:sz w:val="20"/>
        </w:rPr>
        <w:t>9.    Current Accruals and Provisions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Accruals mainly represent not yet invoiced milestones for inventory such as batteries, cubes, and inverters. According to master supply agreements between the Company and suppliers of the inventory, vendor bills are issued according to contracted billing schedules with some milestones invoiced after delivery, upon full installation and commissioning of the equipment at substantial completion and final completion project stages. Current accruals and provisions consisted of the following:</w:t>
      </w:r>
    </w:p>
    <w:tbl>
      <w:tblPr>
        <w:tblW w:w="6746" w:type="dxa"/>
        <w:jc w:val="left"/>
        <w:tblInd w:w="0" w:type="dxa"/>
        <w:tblCellMar>
          <w:top w:w="28" w:type="dxa"/>
          <w:left w:w="28" w:type="dxa"/>
          <w:bottom w:w="28" w:type="dxa"/>
          <w:right w:w="28" w:type="dxa"/>
        </w:tblCellMar>
      </w:tblPr>
      <w:tblGrid>
        <w:gridCol w:w="1147"/>
        <w:gridCol w:w="1006"/>
        <w:gridCol w:w="1012"/>
        <w:gridCol w:w="265"/>
        <w:gridCol w:w="1038"/>
        <w:gridCol w:w="137"/>
        <w:gridCol w:w="109"/>
        <w:gridCol w:w="109"/>
        <w:gridCol w:w="109"/>
        <w:gridCol w:w="321"/>
        <w:gridCol w:w="1259"/>
        <w:gridCol w:w="234"/>
      </w:tblGrid>
      <w:tr>
        <w:trPr/>
        <w:tc>
          <w:tcPr>
            <w:tcW w:w="114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2021</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193,262 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155,963 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expected project losses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30,180 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4" w:type="dxa"/>
            <w:gridSpan w:val="3"/>
            <w:tcBorders/>
            <w:shd w:fill="auto" w:val="cle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217,125 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186,143 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80"/>
        <w:rPr>
          <w:rFonts w:ascii="Times New Roman;sans-serif" w:hAnsi="Times New Roman;sans-serif"/>
          <w:b/>
          <w:color w:val="000000"/>
          <w:sz w:val="20"/>
        </w:rPr>
      </w:pPr>
      <w:r>
        <w:rPr>
          <w:rFonts w:ascii="Times New Roman;sans-serif" w:hAnsi="Times New Roman;sans-serif"/>
          <w:b/>
          <w:color w:val="000000"/>
          <w:sz w:val="20"/>
        </w:rPr>
        <w:t>10.    Short-term Debt</w:t>
      </w:r>
    </w:p>
    <w:p>
      <w:pPr>
        <w:pStyle w:val="TextBody"/>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Revolving Credit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2021, we entered into a revolving credit facility (the “Revolver”), by and among Fluence Energy, LLC, as the borrower, Fluence Energy, Inc., as a parent guarantor, the subsidiary guarantors party thereto, the lenders party thereto and JP Morgan Chase Bank, N.A., as administrative agent and collateral agent.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is $190.0 million from the lenders party thereto including JP Morgan Chase Bank, N.A., Morgan Stanley Senior Funding, Inc., Bank of America, N.A., Barclays Bank PLC, and five other banks. The maturity date of the Revolver is November 1, 2025.</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is either (i) the Adjusted LIBOR or Adjusted EURIBO Rate (each as defined in the Revolver) plus 3.0% or (ii) the Alternate Base Rate (as defined in the Revolver) plus 2.0% (subject to customary LIBOR replacement provisions and alternative benchmark rates including customary spread adjustments with respect to borrowings in foreign currency), at the option of Fluence Energy, LLC. Fluence Energy, LLC is required to pay to the lenders a commitment fee of 0.55% per annum on the average daily unused portion of the revolving commitments through maturity. The Revolver also provides for up to $190.0 million in letter of credit issuances, which will require customary issuance and administration fees, as well as a fronting fee payable to each issuer thereof and a letter of credit participation fee of 2.75% per annum payable to the lenders.</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Revolver contains customary covenants for these types of financing, including, but not limited to, covenants that restrict our ability to incur additional indebtedness; incur liens; sell, transfer, or dispose of property and assets; make investments or acquisitions; make dividends, distributions or other restricted payments; and engage in affiliate transactions. The Revolver limits our ability to make certain payments, including dividends and distributions on Fluence Energy, LLC’s equity, Fluence Energy, Inc.’s equity and other restricted payments. 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 As of March 31, 2022, we were in compliance with all such covenants or maintained availability above such covenant triggers.</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we had no borrowings under the Revolver.</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Line of Credit</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IPO, the Company had an Uncommitted Line of Credit Agreement (“Line of Credit’) with Citibank, N.A. (“Citibank”) which allowed us to borrow an amount in aggregate not to exceed $50.0 million, with the expiration date on March 31, 2023. Outstanding borrowings from the Line of Credit were $50.0 million as of September 30, 2021. The weighted average annual interest rate of the borrowing was 2.83%. On November 1, 2021, the $50.0 million outstanding borrowings from the Line of Credit was paid off using the proceeds from our IPO, and the Line of Credit was canceled shortly thereafter.</w:t>
      </w:r>
    </w:p>
    <w:p>
      <w:pPr>
        <w:pStyle w:val="TextBody"/>
        <w:spacing w:lineRule="auto" w:line="268" w:before="160" w:after="283"/>
        <w:ind w:left="0" w:right="0" w:firstLine="360"/>
        <w:jc w:val="both"/>
        <w:rPr/>
      </w:pPr>
      <w:r>
        <w:rPr>
          <w:rFonts w:ascii="Times New Roman;sans-serif" w:hAnsi="Times New Roman;sans-serif"/>
          <w:b w:val="false"/>
          <w:color w:val="000000"/>
          <w:sz w:val="20"/>
        </w:rPr>
        <w:t xml:space="preserve">Refer to Note 13 — </w:t>
      </w:r>
      <w:r>
        <w:rPr>
          <w:rFonts w:ascii="Times New Roman;sans-serif" w:hAnsi="Times New Roman;sans-serif"/>
          <w:b w:val="false"/>
          <w:i/>
          <w:color w:val="000000"/>
          <w:sz w:val="20"/>
        </w:rPr>
        <w:t xml:space="preserve">Related-Party Transactions </w:t>
      </w:r>
      <w:r>
        <w:rPr>
          <w:rFonts w:ascii="Times New Roman;sans-serif" w:hAnsi="Times New Roman;sans-serif"/>
          <w:b w:val="false"/>
          <w:color w:val="000000"/>
          <w:sz w:val="20"/>
        </w:rPr>
        <w:t>for borrowings from related parties.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180"/>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provision for income taxes is based on the estimated annual effective tax rate, plus discrete items.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$0.1 million and $0.5 million for the three months ended March 31, 2022 and 2021, respectively. The effective tax rate for the three months ended March 31, 2022 and 2021 was (0.2)% and (2.2)%, respectively. For the three months ended March 31, 2022, the Company’s effective tax rate differs from the U.S. statutory tax rate of 21% primarily due to flow-through losses incurred prior to the IPO on November 1, 2021, flow-through losses attributable to the Founders, and valuation allowances. For the three months ended March 31, 2021, the Company’s effective tax rate differs from the U.S. statutory tax rate primarily due to foreign tax rate differentials, losses incurred by the partnership that flow through to the members, valuation allowances recorded on foreign deferred tax assets and foreign withholding taxes on royalties.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$0.5 million and $1.2 million for the six months ended March 31, 2022 and 2021, respectively. The effective tax rate for the six months ended March 31, 2022 and 2021 was (0.3)% and (3.4)%, respectively. For the six months ended March 31, 2022, the Company’s effective tax rate differs from the U.S. statutory tax rate of 21% primarily due to flow-through losses incurred prior to the IPO on November 1, 2021, flow-through losses attributable to the Founders, and valuation allowances. For the six months ended March 31, 2021, the Company’s effective tax rate differs from the U.S. statutory tax rate primarily due to foreign tax rate differentials, losses incurred by the partnership that flow through to the members, valuation allowances recorded on foreign deferred tax assets and foreign withholding taxes on royalties.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believe it has any significant uncertain tax positions and therefore has no unrecognized tax benefits as of March 31, 2022 and September 30, 2021, that if recognized, would affect the annual effective tax rate.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September 30, 2021, the Company had recorded a full valuation allowance against deferred tax assets of its German and Australian subsidiaries. Upon the IPO on November 1, 2021, Fluence Energy, Inc. became a holding company of Fluence Energy, LLC, and as a corporation, recorded deferred tax assets primarily related to its investment in the partnership. The Company determined that based on the weight of available evidence, including cumulative losses, it is more-likely-than-not that the net deferred tax assets of Fluence Energy, Inc. and Fluence Energy, LLC’s subsidiaries in Germany and Australia will not be realized and valuation allowances have been recorded against such deferred tax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certain contractual obligations incurred in the normal course of business that require fixed and determinable payments in the future. These commitments include lease obligations and purchase commitments under master supply agreements.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significant changes in lease contracts and purchase commitments during the six months ended March 31, 2022. During the six months ended March 31, 2022, the Company made a $60.0 million advance payment as a capacity guarantee pursuant to a purchase agreement with one of our suppliers, of which, $33.7 million and $26.3 million was recorded within “Current assets - Advances to suppliers” and “Non-current assets - Advances to suppliers”, respectively, on the condensed consolidated balance sheets. </w:t>
      </w:r>
    </w:p>
    <w:p>
      <w:pPr>
        <w:pStyle w:val="TextBody"/>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Warranties</w:t>
      </w:r>
    </w:p>
    <w:p>
      <w:pPr>
        <w:pStyle w:val="TextBody"/>
        <w:spacing w:lineRule="auto" w:line="276"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both assurance and service-type warranties for various lengths of time. The Company recognizes revenue for service type warranties over time using costs incurred relative to total expected costs as a measure of progress. For assurance-type warranties, the Company records an estimate of future warranty cost when the battery energy solution is transferred to the customer and the future costs of servicing the warranty are both probable and estimable. No material amount of costs for assurance type warranties have been incurred and we are not able to estimate an amount of probable future costs, thus no liability has been recorded.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Contingencies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litigation relating to claims that arise out of our operations and businesses and that cover a wide range of matters, including, among others,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 matters could be decided unfavorably to the Company and could require the Company to pay damages or make expenditures in amounts that could be material. In aggregate, the Company estimates the range of potential losses, where estimable, related to reasonably possible material contingencies to be between $0 million and $5.0 million.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covers the Company’s potential loss contingencies as of March 31, 2022:</w:t>
      </w:r>
    </w:p>
    <w:p>
      <w:pPr>
        <w:pStyle w:val="TextBody"/>
        <w:spacing w:lineRule="auto" w:line="268" w:before="240" w:after="283"/>
        <w:jc w:val="both"/>
        <w:rPr>
          <w:rFonts w:ascii="Times New Roman;sans-serif" w:hAnsi="Times New Roman;sans-serif"/>
          <w:b/>
          <w:i/>
          <w:color w:val="000000"/>
          <w:sz w:val="20"/>
        </w:rPr>
      </w:pPr>
      <w:r>
        <w:rPr>
          <w:rFonts w:ascii="Times New Roman;sans-serif" w:hAnsi="Times New Roman;sans-serif"/>
          <w:b/>
          <w:i/>
          <w:color w:val="000000"/>
          <w:sz w:val="20"/>
        </w:rPr>
        <w:t>2021 Cargo Loss Incident</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28, 2021, the Company was notified of an emergency aboard a vessel carrying Fluence inventory. This incident (the “Cargo Loss Incident”) resulted in damage to a portion of our cargo aboard the vessel. The Company has recorded $13.0 million provision to its inventory as of September 30, 2021 based on the net realizable value of cargo that was destroyed. During the six months ended March 31, 2022, $13.0 million of inventory was written off against the provision. In addition to the inventory losses, we have incurred and expect to incur incremental expenses related to the incident, primarily consisting of inspection costs, project cost overruns due to logistical changes, legal fees, fees to dispose of the damaged cargo, and additional cost to replace the damaged cargo. We received an aggregate of $10.0 million insurance proceeds related to non-disputed claims, $7.5 million of which was collected in October 2021 and the remaining $2.5 million was collected in April 2022.</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2021 Overheating Event at Customer Facility</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September 4, 2021, a 300 MW energy storage facility owned by one of our customers experienced an overheating event. Fluence served as the energy storage technology provider and installed the facility, which was completed in fiscal year 2021. No injuries were reported from the incident. Since then, the facility was taken offline as teams from Fluence, our customer, and the battery manufacturer investigate the incident. Our customer released initial findings in the second fiscal quarter of 2022 on what it contends is the root cause of the incident. At this time, Fluence cannot comment on or accept the customer’s stated findings, because Fluence’s investigation of the root cause remains ongoing, with continued participation by our customer and other parties involved.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The customer has alleged that Fluence is liable for the incident but has not yet demanded a specific amount of compensation. Fluence has denied liability, pending completion of all investigations. No legal proceedings have been commenced. We are currently not able to estimate the impact, if any, that this incident may have on our reputation or financial results, or on the market adoption of our products.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13.    Related-Party Transactions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parties are represented by AES and Siemens, their respective subsidiaries and other entities under common control. As of March 31, 2022, AES and Siemens each holds 58,586,695 shares of Class B-1 common stock of the Company.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Borrowings from Related Parties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11, 2021, the Company borrowed $25.0 million and $25.0 million from AES Grid Stability and Siemens Industry, respectively, in the form of subordinated promissory notes, each bearing an annual interest at 2.86%. The promissory notes were paid off in full on November 1, 2021 using proceeds from the IPO.</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Sales and Procurement Contracts with Related Parties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signs battery-based energy storage product and related service contracts with AES, Siemens and their subsidiaries (collectively refer to as affiliates). The contract price in such contracts is similar to the price charged by us to third-party customers. Revenue from contracts with affiliates is included in “Revenue from related parties” on the Company’s condensed consolidated statements of operations and comprehensive loss.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Fluence purchases material and supplies from its affiliates and records the costs in “Cost of goods and services” on the Company’s condensed consolidated statements of operations and comprehensive loss.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Service Agreements with Affiliates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and its affiliates have signed service agreements under which the affiliates provide certain management and administrative services to Fluence. The services include but are not limited to, treasury, information technology services, payroll and human resources services, sales and marketing services, and research and development. Cost of services are accrued monthly and included in “Payables and deferred revenue with related parties”, and “General and administrative”, “Sales and marketing”, or “Research and development” on the Company’s condensed consolidated balance sheets and statements of operations and comprehensive loss, respectively.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 Performance Guarantees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Fluence paid performance guarantee fees to its affiliates in exchange for guaranteeing Fluence’s performance obligation under certain contracts with Fluence’s customers, which are based on the affiliates’ weighted average cost for bank guarantees and their per annum cost of surety bonds with a reasonable markup. The guarantee fees are included in “Costs of goods and services” on Fluence’s condensed consolidated statements of operations and comprehensive loss.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receivables from related parties and payables to related parties on the Company’s condensed consolidated balance sheets:</w:t>
      </w:r>
    </w:p>
    <w:tbl>
      <w:tblPr>
        <w:tblW w:w="8230" w:type="dxa"/>
        <w:jc w:val="left"/>
        <w:tblInd w:w="0" w:type="dxa"/>
        <w:tblCellMar>
          <w:top w:w="28" w:type="dxa"/>
          <w:left w:w="28" w:type="dxa"/>
          <w:bottom w:w="28" w:type="dxa"/>
          <w:right w:w="28" w:type="dxa"/>
        </w:tblCellMar>
      </w:tblPr>
      <w:tblGrid>
        <w:gridCol w:w="1685"/>
        <w:gridCol w:w="1478"/>
        <w:gridCol w:w="1486"/>
        <w:gridCol w:w="265"/>
        <w:gridCol w:w="1038"/>
        <w:gridCol w:w="137"/>
        <w:gridCol w:w="109"/>
        <w:gridCol w:w="109"/>
        <w:gridCol w:w="109"/>
        <w:gridCol w:w="321"/>
        <w:gridCol w:w="1259"/>
        <w:gridCol w:w="234"/>
      </w:tblGrid>
      <w:tr>
        <w:trPr/>
        <w:tc>
          <w:tcPr>
            <w:tcW w:w="1685"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2021</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from related parties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171,466 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220,122 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payables and deferred revenue with related parties</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176,673 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227,925 </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Unbilled receivables represent the excess of revenues recognized over billings to date on sales or service contracts with related parties. Deferred revenue represents the excess billings to date over the amount of revenue recognized to date on sales or service contracts with related parties. Receivables from related parties and payables and deferred revenue with related parties are unsecured and settlement of these balances occurs in cash. No provision has been made related to the receivables from related parties.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related party transactions that are included the Company’s condensed consolidated statements of operations and comprehensive loss for the periods indicated: </w:t>
      </w:r>
    </w:p>
    <w:tbl>
      <w:tblPr>
        <w:tblW w:w="9419" w:type="dxa"/>
        <w:jc w:val="left"/>
        <w:tblInd w:w="0" w:type="dxa"/>
        <w:tblCellMar>
          <w:top w:w="28" w:type="dxa"/>
          <w:left w:w="28" w:type="dxa"/>
          <w:bottom w:w="28" w:type="dxa"/>
          <w:right w:w="28" w:type="dxa"/>
        </w:tblCellMar>
      </w:tblPr>
      <w:tblGrid>
        <w:gridCol w:w="1119"/>
        <w:gridCol w:w="982"/>
        <w:gridCol w:w="988"/>
        <w:gridCol w:w="109"/>
        <w:gridCol w:w="109"/>
        <w:gridCol w:w="109"/>
        <w:gridCol w:w="234"/>
        <w:gridCol w:w="917"/>
        <w:gridCol w:w="121"/>
        <w:gridCol w:w="121"/>
        <w:gridCol w:w="121"/>
        <w:gridCol w:w="121"/>
        <w:gridCol w:w="234"/>
        <w:gridCol w:w="800"/>
        <w:gridCol w:w="121"/>
        <w:gridCol w:w="109"/>
        <w:gridCol w:w="109"/>
        <w:gridCol w:w="109"/>
        <w:gridCol w:w="211"/>
        <w:gridCol w:w="826"/>
        <w:gridCol w:w="109"/>
        <w:gridCol w:w="109"/>
        <w:gridCol w:w="109"/>
        <w:gridCol w:w="109"/>
        <w:gridCol w:w="211"/>
        <w:gridCol w:w="721"/>
        <w:gridCol w:w="109"/>
        <w:gridCol w:w="109"/>
        <w:gridCol w:w="109"/>
        <w:gridCol w:w="154"/>
      </w:tblGrid>
      <w:tr>
        <w:trPr/>
        <w:tc>
          <w:tcPr>
            <w:tcW w:w="111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86"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308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51"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34"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37"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Refer to Note 15 — </w:t>
      </w:r>
      <w:r>
        <w:rPr>
          <w:rFonts w:ascii="Times New Roman;sans-serif" w:hAnsi="Times New Roman;sans-serif"/>
          <w:b w:val="false"/>
          <w:i/>
          <w:color w:val="000000"/>
          <w:sz w:val="20"/>
        </w:rPr>
        <w:t>Supply Chain Financing</w:t>
      </w:r>
      <w:r>
        <w:rPr>
          <w:color w:val="000000"/>
        </w:rPr>
        <w:t xml:space="preserve"> </w:t>
      </w:r>
      <w:r>
        <w:rPr>
          <w:rFonts w:ascii="Times New Roman;sans-serif" w:hAnsi="Times New Roman;sans-serif"/>
          <w:b w:val="false"/>
          <w:color w:val="000000"/>
          <w:sz w:val="20"/>
        </w:rPr>
        <w:t>for the related party guarantee associated with the supply chain financing.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14.    Stock-Based Compensation</w:t>
      </w:r>
    </w:p>
    <w:p>
      <w:pPr>
        <w:pStyle w:val="TextBody"/>
        <w:spacing w:lineRule="auto" w:line="288" w:before="160" w:after="283"/>
        <w:ind w:left="0" w:right="0" w:firstLine="360"/>
        <w:jc w:val="both"/>
        <w:rPr/>
      </w:pPr>
      <w:r>
        <w:rPr>
          <w:rFonts w:ascii="Times New Roman;sans-serif" w:hAnsi="Times New Roman;sans-serif"/>
          <w:b w:val="false"/>
          <w:color w:val="000000"/>
          <w:sz w:val="20"/>
        </w:rPr>
        <w:t>The following table presents stock-based compensation expense by financial statement line item:</w:t>
      </w:r>
      <w:r>
        <w:rPr>
          <w:color w:val="000000"/>
        </w:rPr>
        <w:t xml:space="preserve"> </w:t>
      </w:r>
    </w:p>
    <w:tbl>
      <w:tblPr>
        <w:tblW w:w="8341" w:type="dxa"/>
        <w:jc w:val="left"/>
        <w:tblInd w:w="0" w:type="dxa"/>
        <w:tblCellMar>
          <w:top w:w="28" w:type="dxa"/>
          <w:left w:w="28" w:type="dxa"/>
          <w:bottom w:w="28" w:type="dxa"/>
          <w:right w:w="28" w:type="dxa"/>
        </w:tblCellMar>
      </w:tblPr>
      <w:tblGrid>
        <w:gridCol w:w="837"/>
        <w:gridCol w:w="734"/>
        <w:gridCol w:w="738"/>
        <w:gridCol w:w="109"/>
        <w:gridCol w:w="109"/>
        <w:gridCol w:w="109"/>
        <w:gridCol w:w="296"/>
        <w:gridCol w:w="864"/>
        <w:gridCol w:w="152"/>
        <w:gridCol w:w="152"/>
        <w:gridCol w:w="152"/>
        <w:gridCol w:w="152"/>
        <w:gridCol w:w="296"/>
        <w:gridCol w:w="569"/>
        <w:gridCol w:w="152"/>
        <w:gridCol w:w="109"/>
        <w:gridCol w:w="109"/>
        <w:gridCol w:w="109"/>
        <w:gridCol w:w="256"/>
        <w:gridCol w:w="875"/>
        <w:gridCol w:w="132"/>
        <w:gridCol w:w="132"/>
        <w:gridCol w:w="132"/>
        <w:gridCol w:w="132"/>
        <w:gridCol w:w="256"/>
        <w:gridCol w:w="492"/>
        <w:gridCol w:w="186"/>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230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9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r>
      <w:tr>
        <w:trPr/>
        <w:tc>
          <w:tcPr>
            <w:tcW w:w="230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Sales and marketing </w:t>
            </w:r>
            <w:r>
              <w:rPr>
                <w:rFonts w:ascii="Times New Roman;sans-serif" w:hAnsi="Times New Roman;sans-serif"/>
                <w:b w:val="false"/>
                <w:i/>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0" w:after="283"/>
        <w:jc w:val="both"/>
        <w:rPr>
          <w:rFonts w:ascii="Times New Roman;sans-serif" w:hAnsi="Times New Roman;sans-serif"/>
          <w:b w:val="false"/>
          <w:i/>
          <w:color w:val="000000"/>
          <w:sz w:val="16"/>
        </w:rPr>
      </w:pPr>
      <w:r>
        <w:rPr>
          <w:rFonts w:ascii="Times New Roman;sans-serif" w:hAnsi="Times New Roman;sans-serif"/>
          <w:b w:val="false"/>
          <w:i/>
          <w:color w:val="000000"/>
          <w:sz w:val="16"/>
        </w:rPr>
        <w:t>(a) The reduction of stock based compensation expense for the three months ended March 31, 2022 was a result of the market-to-market adjustment of our liability classified awards which is driven by our stock price decrease during the three months ended March 31, 2022.</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September 30, 2021, the Company determined that achievement of the performance conditions related to awards granted under the 2020 Unit Option Plan and the 2020 Phantom Equity Incentive Plan (the “2020 Plans”) was not probable and therefore, no expense was recognized for unit options or phantom units during the fiscal year ended September 30, 2021. The completion of the IPO on November 1, 2021 resulted in achievement of the performance condition underlying awards granted under the 2020 Plans. Accordingly, previously unrecognized stock compensation expense was recognized during the six months ended March 31,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the Company granted 362,280 restricted stock units (“RSUs”) under the 2021 Incentive Award Plan to certain employees and directors that vest ratably over a period of three years. The weighted average grant date fair value for the RSUs was $17.84. The Company also made a cash payment of $5.7 million to settle liability classified awards previously granted to the former CEO under the 2020 Plans during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15. Supply Chain Financing</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March 31, 2022, AES and Siemens issued guarantees of $50.0 million each, for a total of $100.0 million, to the SCF Bank on our behalf.</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September 30, 2021, we had $52.1 million and $58.4 million of payables outstanding, respectively, subject to the program. All outstanding payments owed under the program are recorded within “Accounts payable” on the condensed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ind w:left="0" w:right="0" w:hanging="18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Acquisition of Nispera AG</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2022, Fluence acquired Nispera AG (“Nispera”), a Zurich-based provider of artificial intelligence (AI) and machine learning-enabled software-as-a-service (SaaS) targeting the renewable energy sector. The transaction included an all-cash buyout provision of approximately $30.0 million with respect to existing investors in Nispera, including members of Nispera’s management team, and the assumption of debt of approximately $2.6 million. In addition, Fluence issued 0.5 million shares of restricted stocks to Nispera’s management team that vest ratably over three years for retention purposes.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2022 Overheating Event at Customer Facility</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(“MD&amp;A”) provides information that management believes is relevant to an assessment and understanding of the consolidated financial condition and results of operations of Fluence and should be read in conjunction with the accompanying consolidated financial statements and related notes thereto included in this Quarterly Report on Form 10-Q as well in conjunction with our audited consolidated financial statements and related notes included in our Annual Report on Form 10-K for the fiscal year ended September 30, 2021 (“2021 Annual Report”).</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where the context clearly indicates otherwise, “Fluence,” “we,” “us,” “our” or the “Company” refers to Fluence Energy, Inc. and its wholly owned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the completion of our initial public offering (the “IPO”) and a series of organization transactions (collectively with the IPO, the “Transactions”) on November 1, 2021, Fluence Energy, Inc. became a holding company whose sole material assets are the LLC Interests in Fluence Energy LLC. All of our business is conducted through Fluence Energy, LLC, together with its subsidiaries, and the financial results of Fluence Energy, LLC are consolidated in our financial statements.</w:t>
      </w:r>
    </w:p>
    <w:p>
      <w:pPr>
        <w:pStyle w:val="TextBody"/>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fiscal year begins on October 1 and ends on September 30.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on January 1, 2018, we have focused on international growth and developing our energy storage product and delivery services, the operational services, and digital applications. We have incurred net operating losses each year since our inception. Through March 31, 2022, we have financed our operations with the proceeds from our IPO, equity contributions from AES Grid Stability, LLC (“AES Grid Stability”), Siemens Industry, Inc.(“Siemens Industry”), and QIA Florence Holdings LLC (“QFH”), cash and cash equivalents, negative working capital, and short-term borrowings.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we deployed cumulative 1,228 MW of energy storage products, compared to 971 MW as of September 30, 2021. New energy storage product contracts executed during the three months ended March 31, 2022 represented total contracted power of approximately 582 MW compared to 56 MW for the three months ended March 31, 2021. We recognized total revenue of $342.7 million for the three months ended March 31, 2022, representing an increase of $244.6 million, or 249.2%, compared to the three months ended March 31, 2021. New energy storage product contracts executed during the six months ended March 31, 2022 represented total contracted power of approximately 1,182 MW as compared to 152 MW for the six months ended March 31, 2021. We recognized total revenue of $517.6 million for the six months ended March 31, 2022, representing an increase of $303.2 million, or 141.5%, compared to the six months ended March 31, 2021. This increase in total revenue for the three and six months ended March 31, 2022 compared to the same periods from prior year was primarily a result of expanded sales in terms of the number of energy storage products sold as well as geographic footprint, offset by impacts related to the COVID-19 pandemic causing the delays in shipping energy storage products. We believe such delays may continue through the rest of fiscal year 2022.</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a gross loss of $(14.7) million and gross profit margin of (4.3)% for the three months ended March 31, 2022, compared to a gross profit of $1.0 million and gross profit margin of 1.0% for the three months ended March 31, 2021. We had a gross loss of $(67.9) million and gross profit margin of (13.1)% for the six months ended March 31, 2022, compared to a gross profit of $5.8 million and gross profit margin of 2.7% for the six months ended March 31, 2021. The gross loss for the three and six months ended March 31, 2022 has been negatively impacted by (i) capacity constraints within the shipping industry and increased shipping costs, both of which are primarily caused as a result of the COVID-19 pandemic, and (ii) cost overruns and delays we are experiencing in some projects currently under construction.</w:t>
      </w:r>
    </w:p>
    <w:p>
      <w:pPr>
        <w:pStyle w:val="TextBody"/>
        <w:spacing w:lineRule="auto" w:line="288" w:before="16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Adjusted gross loss was $(11.3) million and adjusted gross profit margin was (3.3)% for the three months ended March 31, 2022, compared to adjusted gross profit of $1.0 million and adjusted gross profit margin of 1.0% for the three months ended March 31, 2021, representing a decrease of $12.3 million, or (1212.6)%. Adjusted gross loss was $(19.6) million and adjusted gross profit margin was (3.8)% for the six months ended March 31, 2022, compared to adjusted gross profit of $5.8 million and adjusted gross profit margin of 2.7% for the six months ended March 31, 2021, representing a decrease of $(25.4) million, or (437.9)%. The decreases in adjusted gross loss for the three and six months ended March 31, 2022 compared to the same periods from prior year were primarily due to project cost overruns.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research and development, and sales and marketing expenses increased by $17.0 million, $5.0 million, and $1.0 million, or 204.9%, 59.4%, and 19.5%, respectively, for the three months ended March 31, 2022, compared to the three months ended March 31, 2021. The increases in general and administrative expense and research and development expense for the three months ended March 31, 2022 include stock based compensation expense of $2.4 million and $1.5 million, respectively. General and administrative, research and development, and sales and marketing expenses increased by $41.4 million, $11.6 million, and $9.3 million, or 276.3%, 92.6%, and 94.0%, respectively, for the six months ended March 31, 2022, compared to the six months ended March 31, 2021. The increases in general and administrative, research and development and sales and marketing expenses for the six months ended March 31, 2022 include stock based compensation expense of $15.5 million, $3.3 million and $4.5 million, respectively. We have been investing heavily in our human capital, technology, products and services to support significant increases in our operations and related revenues for the three and six months ended March 31, 2022. We expect our operating expenses, exclusive of stock based compensation expense, to increase for the foreseeable future as we experience continuing substantial growth and mature as a public company.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proceeds received from our IPO, cash flows from operations, along with the short-term borrowing will be sufficient to meet our expense and capital requirements for the next twelve months following the filing of this Report.</w:t>
      </w:r>
    </w:p>
    <w:p>
      <w:pPr>
        <w:pStyle w:val="TextBody"/>
        <w:spacing w:lineRule="auto" w:line="288" w:before="160" w:after="283"/>
        <w:jc w:val="both"/>
        <w:rPr/>
      </w:pPr>
      <w:r>
        <w:rPr>
          <w:rFonts w:ascii="Times New Roman;sans-serif" w:hAnsi="Times New Roman;sans-serif"/>
          <w:b/>
          <w:color w:val="000000"/>
          <w:sz w:val="20"/>
        </w:rPr>
        <w:t>Initial Public Offering</w:t>
      </w:r>
      <w:r>
        <w:rPr>
          <w:color w:val="000000"/>
        </w:rPr>
        <w:t xml:space="preserve"> </w:t>
      </w:r>
      <w:r>
        <w:rPr>
          <w:rFonts w:ascii="Times New Roman;sans-serif" w:hAnsi="Times New Roman;sans-serif"/>
          <w:b/>
          <w:color w:val="000000"/>
          <w:sz w:val="20"/>
        </w:rPr>
        <w:t>and Related Transactions</w:t>
      </w:r>
    </w:p>
    <w:p>
      <w:pPr>
        <w:pStyle w:val="TextBody"/>
        <w:spacing w:lineRule="auto" w:line="288" w:before="160" w:after="283"/>
        <w:ind w:left="0" w:right="0" w:firstLine="360"/>
        <w:rPr/>
      </w:pPr>
      <w:r>
        <w:rPr>
          <w:rFonts w:ascii="Times New Roman;sans-serif" w:hAnsi="Times New Roman;sans-serif"/>
          <w:b w:val="false"/>
          <w:color w:val="000000"/>
          <w:sz w:val="20"/>
        </w:rPr>
        <w:t>On November 1, 2021, the Company completed an IPO in which it issued and sold 35,650,000 shares of its Class A common stock at the public offering price of $28.00 per share. The net proceeds to the Company from the IPO were $935.8 million, after deducting underwriting discounts and offering expenses paid by the Company. The net proceeds from the IPO have been used to purchase 35,650,000 newly issued 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the now extinguished Uncommitted Line of Credit Agreement with Citibank, N.A. (“Citibank”) (the “Line of Credit”) and the promissory notes with each of Siemens Industry and AES Grid Stability for $25.0 million each, and an aggregate of $50.0 million (together, the “Promissory Notes”). The remainder of the proceeds has been used for working capital and other general corporate purposes</w:t>
      </w:r>
      <w:r>
        <w:rPr>
          <w:rFonts w:ascii="Times New Roman;sans-serif" w:hAnsi="Times New Roman;sans-serif"/>
          <w:b w:val="false"/>
          <w:color w:val="0D0D0D"/>
          <w:sz w:val="20"/>
        </w:rPr>
        <w:t>.</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ind w:left="0" w:right="0" w:firstLine="360"/>
        <w:rPr/>
      </w:pPr>
      <w:r>
        <w:rPr>
          <w:rFonts w:ascii="Times New Roman;sans-serif" w:hAnsi="Times New Roman;sans-serif"/>
          <w:b w:val="false"/>
          <w:color w:val="000000"/>
          <w:sz w:val="20"/>
        </w:rPr>
        <w:t xml:space="preserve">In connection with the IPO, the Company and AES Stability and Siemens Industry (together with AES Stability, the “Founders”) completed a series of Transactions. Following the completion of the Transactions, the Company owns 31.6% of the economic interest in Fluence Energy, LLC and the Founders own 68.4% of the economic interest in Fluence Energy, LLC. As the sole managing member of Fluence Energy, LLC, the Company operates and controls all the business and affairs of Fluence Energy, LLC and its direct and indirect subsidiaries. As a result, the Company consolidates Fluence Energy, LLC and records a non-controlling interest in its consolidated financial statements for the economic interest in Fluence Energy, LLC held by the Founders. Refer to Note 1 - </w:t>
      </w:r>
      <w:r>
        <w:rPr>
          <w:rFonts w:ascii="Times New Roman;sans-serif" w:hAnsi="Times New Roman;sans-serif"/>
          <w:b w:val="false"/>
          <w:i/>
          <w:color w:val="000000"/>
          <w:sz w:val="20"/>
        </w:rPr>
        <w:t>Organization and Operations</w:t>
      </w:r>
      <w:r>
        <w:rPr>
          <w:color w:val="000000"/>
        </w:rPr>
        <w:t xml:space="preserve"> </w:t>
      </w:r>
      <w:r>
        <w:rPr>
          <w:rFonts w:ascii="Times New Roman;sans-serif" w:hAnsi="Times New Roman;sans-serif"/>
          <w:b w:val="false"/>
          <w:color w:val="000000"/>
          <w:sz w:val="20"/>
        </w:rPr>
        <w:t>to the unaudited condensed consolidated financial statements included in this Report for more information about the IPO and related transactions.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Impact of the COVID-19 Pandemic</w:t>
      </w:r>
      <w:r>
        <w:rPr>
          <w:color w:val="000000"/>
        </w:rPr>
        <w:t xml:space="preserve"> </w:t>
      </w:r>
    </w:p>
    <w:p>
      <w:pPr>
        <w:pStyle w:val="TextBody"/>
        <w:spacing w:lineRule="auto" w:line="288" w:before="160" w:after="283"/>
        <w:ind w:left="0" w:right="0" w:firstLine="360"/>
        <w:rPr/>
      </w:pPr>
      <w:r>
        <w:rPr>
          <w:rFonts w:ascii="Times New Roman;sans-serif" w:hAnsi="Times New Roman;sans-serif"/>
          <w:b w:val="false"/>
          <w:color w:val="000000"/>
          <w:sz w:val="20"/>
        </w:rPr>
        <w:t xml:space="preserve">On March 11, 2020, the World Health Organization declared the outbreak of a strain of novel coronavirus disease, the COVID-19 pandemic, a global pandemic. In response to the COVID-19 pandemic, we have taken a number of actions to protect the health and well-being of our employees and personnel and to prevent the spread of COVID-19 within our operations and at customers’ project sites. Governments in affected areas and countries in which we operate have imposed a number of measures designed to contain outbreaks of COVID-19, including business closures, travel restrictions, and quarantines. As of March 31, 2022, the COVID-19 pandemic continues to be dynamic, and the challenges across the economy still remain. Although vaccines are now being distributed and administered across many parts of the world, new variants of the virus have emerged and may continue to emerge that have shown to be more contagious. </w:t>
      </w:r>
      <w:r>
        <w:rPr>
          <w:rFonts w:ascii="Times New Roman;sans-serif" w:hAnsi="Times New Roman;sans-serif"/>
          <w:b w:val="false"/>
          <w:color w:val="000000"/>
          <w:sz w:val="20"/>
          <w:highlight w:val="white"/>
        </w:rPr>
        <w:t xml:space="preserve">Many of our customers’ project sites have experienced shutdowns and delays related to COVID-19, although this trend at project sites appears to be declining in many of our locations in recent months. In addition, we </w:t>
      </w:r>
      <w:r>
        <w:rPr>
          <w:rFonts w:ascii="Times New Roman;sans-serif" w:hAnsi="Times New Roman;sans-serif"/>
          <w:b w:val="false"/>
          <w:color w:val="000000"/>
          <w:sz w:val="20"/>
        </w:rPr>
        <w:t>purchase our components and materials from international and domestic vendors and are exposed to supply chain risks arising from logistics disruptions. As a large portion of our battery supply chain derives from China, the recent shut down caused by a COVID-19 outbreak and zero-COVID policy in China has caused a supply chain bottle neck and raw material price increases, which has impacted our operations. For the three months ended March 31, 2022, the Company had a $1.7 million reduction related to COVID-19 pandemic costs as a result of release of prior period project charges net of non-recurring excess shipping costs. For the six months ended March 31, 2022, the Company incurred $35.3 million in COVID-19 related costs, which was included in “Cost of goods and services” in the accompanying condensed consolidated financial statements. Such costs were primarily caused by temporary closures of customer construction sites in the first fiscal quarter of 2022 and delays in shipping energy storage products during both the first and second fiscal quarters of 2022. If these situations continue or there are additional disruptions in our project sites or supply chain caused by the COVID-19 pandemic, such delays and disruptions could materially and adversely impact our operating results and financial condition. We continue to actively manage through these temporary COVID-19 disruptions.</w:t>
      </w:r>
    </w:p>
    <w:p>
      <w:pPr>
        <w:pStyle w:val="TextBody"/>
        <w:spacing w:lineRule="auto" w:line="288" w:before="160" w:after="283"/>
        <w:ind w:left="0" w:right="0" w:firstLine="360"/>
        <w:jc w:val="both"/>
        <w:rPr/>
      </w:pPr>
      <w:r>
        <w:rPr>
          <w:rFonts w:ascii="Times New Roman;sans-serif" w:hAnsi="Times New Roman;sans-serif"/>
          <w:b w:val="false"/>
          <w:color w:val="000000"/>
          <w:sz w:val="20"/>
        </w:rPr>
        <w:t>The full impact of the COVID-19 pandemic on our business, financial condition and results of operations is difficult to predict and will depend on future developments, such as the ultimate duration and scope of the pandemic, its ultimate impact on our employees, customers, and vendors, in addition to how quickly normal economic conditions and operations resume and whether the pandemic exacerbates other risks disclosed in Part I, Item 1A. “Risk Factors” in our 2021 Annual Report. Even after the pandemic has subsided, we may continue to experience adverse impacts to our business from any economic recession or depression that may occur as a result of the pandemic. Therefore, we cannot reasonably estimate the impact to the Company at this time. We continue to actively monitor the pandemic and may decide to take further actions that alter our business operations as may be required by governmental authorities or applicable laws and regulations or that we determine to be in the best interests of our employees, customers, vendors, and shareholders</w:t>
      </w:r>
      <w:r>
        <w:rPr>
          <w:rFonts w:ascii="Arial;sans-serif" w:hAnsi="Arial;sans-serif"/>
          <w:b w:val="false"/>
          <w:color w:val="000000"/>
          <w:sz w:val="24"/>
        </w:rPr>
        <w:t xml:space="preserve">. </w:t>
      </w:r>
    </w:p>
    <w:p>
      <w:pPr>
        <w:pStyle w:val="TextBody"/>
        <w:spacing w:lineRule="auto" w:line="288" w:before="24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Acquisition of Nispera AG</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Fluence acquired Nispera AG (“Nispera”), a Zurich-based provider of artificial intelligence (AI) and machine learning-enabled software-as-a-service (SaaS) targeting the renewable energy sector. The transaction included an all-cash buyout provision of approximately $30.0 million with respect to existing investors in Nispera, including members of Nispera’s management team, and the assumption of debt of approximately $2.6 million. In addition, Fluence issued 0.5 million shares of restricted stocks to Nispera’s management team that vest ratably over three years for retention purposes.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2021 Cargo Loss Incident</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28, 2021, the Company was notified of an emergency aboard a vessel carrying Fluence inventory. This incident (the “ Cargo Loss Incident”) resulted in damage to a portion of our cargo aboard the vessel. We recorded a $13.0 million inventory provision as of September 30, 2021 based on the estimated net realizable value of cargo that was destroyed. During the six months ended March 31, 2022, the Company wrote off $13.0 million of inventory against the provision. In addition to the inventory losses, we have incurred and expect to incur incremental expenses related to the incident, primarily consisting of inspection costs, project cost overruns due to logistical changes, legal fees, fees to dispose of the damaged cargo, and additional cost to replace the damaged cargo. The amount of these incremental expenses incurred during fiscal year 2021 were approximately $9.4 million, and we expect to incur at least an additional $13.0 million during fiscal year 2022, of which $8.6 million was recognized in “Cost of goods and services” in the Company’s condensed consolidated statements of operations and comprehensive loss for the six months ended March 31, 2022. We received an aggregate of $10.0 million insurance proceeds related to non-disputed claims, $7.5 million of which was collected in October 2021 and the remaining $2.5 million was collected in April 2022.</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2021 Overheating Event at Customer Facility</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September 4, 2021, a 300 MW energy storage facility owned by one of our customers experienced an overheating event. Fluence served as the energy storage technology provider and installed the facility, which was completed in fiscal year 2021. No injuries were reported from the incident. Since then, the facility was taken offline as teams from Fluence, our customer, and the battery manufacturer investigate the incident. Our customer released initial findings in the second fiscal quarter of 2022 on what it contends is the root cause of the incident. At this time, Fluence cannot comment on or accept the customer’s stated findings, because Fluence’s investigation of the root cause remains ongoing, with continued participation by our customer and other parties involved.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The customer has alleged that Fluence is liable for the incident but has not yet demanded a specific amount of compensation. Fluence has denied liability, pending completion of all investigations. No legal proceedings have been commenced. We are currently not able to estimate the impact, if any, that this incident may have on our reputation or financial results, or on the market adoption of our products.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2022 Overheating Event at Customer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2022, a 10 MW energy storage facility in Chandler, Arizona owned by AES experienced an overheating event. Fluence served as the energy storage technology provider for the facility, which was completed in 2019, and Fluence currently provides maintenance services for the facility. There were no injuries. The facility has been taken offline as teams from Fluence, AES, and the battery manufacturer investigate the incident. We are currently not able to estimate the impact, if any, that this incident may have on our reputation or financial results, or on market adoption of our products.</w:t>
      </w:r>
    </w:p>
    <w:p>
      <w:pPr>
        <w:pStyle w:val="TextBody"/>
        <w:spacing w:before="0" w:after="0"/>
        <w:ind w:left="0" w:right="0" w:firstLine="36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Factors and Trends Affecting our Performance</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performance and future success depend on several factors that present significant opportunities for us but also pose risks and challenges, including those discussed below and those in Part I, Item 1A. “Risk Factors” in our 2021 Annual Report.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Expected Decrease in Lithium-ion Battery Cost </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directly tied to the continued adoption of energy storage products by our customers. The cost of lithium-ion energy storage hardware has declined significantly in the last decade and has resulted in a large addressable market today. However, according to BloombergNEF’s 2021 battery price survey, higher raw material costs could push the average price of a lithium-ion battery pack from $132 per kilowatt hour (“kWh”) in 2021 to $135/kWh in 2022, which would mark the first annual increase in price since at least 2010, when the average price was above $1,200/kWh. BloombergNEF predicts battery prices could fall below $100/kWh by 2024, although the timing of that decline could be pushed back by two years in the absence of improvements mitigating the short-term price increases. The market for energy storage is rapidly evolving, and while we believe costs will continue to decline over the long term, there is no guarantee that they will decline or decline at the rates we expect, and the short-term increases predicted by BloombergNEF could be larger or last longer than they predict. If costs do not continue to decline long term, this could adversely affect our ability to increase our revenue or grow our business.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Increasing Deployment of Renewable Energy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Deployment of renewable energy resources has accelerated over the last decade, and solar and wind have become a low-cost energy source. BloombergNEF estimates that renewable energy is expected to represent 70% of all new global capacity installations over the next ten years. Energy storage is critical to reducing the intermittency and volatility of renewable energy generation. However, there is no guarantee that the deployment of renewable energy will occur at the rate estimated by BloombergNEF. Inflationary pressures, supply chain disruptions, geo-political stresses such as the Russia-Ukraine conflict, and other factors could result in fluctuations in demand for and deployment of renewable energy resources, adversely affecting our revenue and ability to generate profits in the future.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our products is competitive, and we may face increased competition as new and existing competitors introduce energy storage solutions and components. Furthermore, as we expand our services and digital applications in the future, we may face other competitors including software providers and some hardware manufacturers that offer software solutions. If our market share declines due to increased competition or if we are not able to compete as we expect, our revenue and ability to generate profits in the future may be adversely affected.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 seasonality and typically see increased order intake in our third and fourth fiscal quarters (April – September), driven by demand in the Northern Hemisphere to install energy storage products before the summer of the following year. Combined third and fourth fiscal quarter order intake generally accounts for 80% or more of our total intake each year. As a result, revenue generation is typically significantly stronger in our third and fourth fiscal quarters as we provide the majority of our products to customers during these periods. Cash flows historically have been negative in our first and second fiscal quarters, neutral to positive in our third fiscal quarter, and positive in our fourth fiscal quarter. Our services and digital applications and solutions offerings do not experience the same seasonality given their recurring nature.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Inflation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markets in which we operate, there have been higher rates of inflation in recent months. If inflation continues to increase in our markets, it may increase our expenses that we may not be able to pass through to customers. It may also increase the costs of our products that could negatively impact their competitiveness.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Key Components of Our Results of Operations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describes certain line items in our condensed consolidated statements of operations and comprehensive loss.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i/>
          <w:color w:val="000000"/>
          <w:sz w:val="20"/>
        </w:rPr>
        <w:t>Total Revenue</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sale of energy storage products, service agreements with customers to provide operational services related to battery-based energy storage products, and from digital application contracts. Fluence enters into contracts with utility companies, developers, and commercial and industrial customers. We derive the majority of our revenues from selling energy storage products. When we sell a battery-based energy storage product, we enter into a contract with our customers covering the price, specifications, delivery dates, and warranty for the products being purchased, among other things.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growth is dependent on continued growth in the amount of battery-based energy storage products projects constructed each year and our ability to increase our share of demand in the geographic regions where we currently compete and plan to compete in the future as well as our ability to continue to develop and commercialize new and innovative products that address the changing technology and performance requirements of our customers. </w:t>
      </w:r>
    </w:p>
    <w:p>
      <w:pPr>
        <w:pStyle w:val="TextBody"/>
        <w:spacing w:lineRule="auto" w:line="288" w:before="240" w:after="283"/>
        <w:jc w:val="both"/>
        <w:rPr/>
      </w:pPr>
      <w:r>
        <w:rPr>
          <w:rFonts w:ascii="Times New Roman;sans-serif" w:hAnsi="Times New Roman;sans-serif"/>
          <w:b/>
          <w:i/>
          <w:color w:val="000000"/>
          <w:sz w:val="20"/>
        </w:rPr>
        <w:t>Cost of Goods and Services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as we don’t purchase raw materials but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 related costs, are not directly affected by sales volume.</w:t>
      </w:r>
    </w:p>
    <w:p>
      <w:pPr>
        <w:pStyle w:val="TextBody"/>
        <w:spacing w:lineRule="auto" w:line="288" w:before="160" w:after="283"/>
        <w:jc w:val="both"/>
        <w:rPr/>
      </w:pPr>
      <w:r>
        <w:rPr>
          <w:rFonts w:ascii="Times New Roman;sans-serif" w:hAnsi="Times New Roman;sans-serif"/>
          <w:b/>
          <w:i/>
          <w:color w:val="000000"/>
          <w:sz w:val="20"/>
        </w:rPr>
        <w:t>Gross Profit (Loss) and Gross Profit Margin</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(loss) and gross profit margin may vary from quarter to quarter and are primarily affected by our sales volume, product prices, product costs, product mix, customer mix, geographical mix, shipping method, warranty costs, and seasonality. </w:t>
      </w:r>
    </w:p>
    <w:p>
      <w:pPr>
        <w:pStyle w:val="TextBody"/>
        <w:spacing w:lineRule="auto" w:line="288" w:before="240" w:after="283"/>
        <w:jc w:val="both"/>
        <w:rPr/>
      </w:pPr>
      <w:r>
        <w:rPr>
          <w:rFonts w:ascii="Times New Roman;sans-serif" w:hAnsi="Times New Roman;sans-serif"/>
          <w:b/>
          <w:i/>
          <w:color w:val="000000"/>
          <w:sz w:val="20"/>
        </w:rPr>
        <w:t>Operating Expenses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employee benefits and sales commissions. We expect to invest in additional resources to support our growth which will increase our operating expenses in the near future. </w:t>
      </w:r>
    </w:p>
    <w:p>
      <w:pPr>
        <w:pStyle w:val="TextBody"/>
        <w:spacing w:lineRule="auto" w:line="288" w:before="240" w:after="283"/>
        <w:jc w:val="both"/>
        <w:rPr/>
      </w:pPr>
      <w:r>
        <w:rPr>
          <w:rFonts w:ascii="Times New Roman;sans-serif" w:hAnsi="Times New Roman;sans-serif"/>
          <w:b/>
          <w:i/>
          <w:color w:val="000000"/>
          <w:sz w:val="20"/>
        </w:rPr>
        <w:t>Research and Development Expenses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primarily of personnel-related expenses, including salaries, stock-based compensation, and employee benefits, for engineers engaged in the design and development of products and technologies, as well as products, materials, and third-party services used in our research and development process. We expect research and development expenses to increase in future periods to support our growth and as we continue to invest in research and development activities that are necessary to achieve our technology and product roadmap goals. These expenses may vary from period to period as a percentage of revenue, depending primarily upon when we choose to make more significant investments.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i/>
          <w:color w:val="000000"/>
          <w:sz w:val="20"/>
        </w:rPr>
        <w:t>Sales and Marketing Expenses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primarily of personnel-related expenses, including salaries, stock-based compensation, employee benefits, and amortization of sales commissions, for our sales and marketing organization, consultants and other third-party vendors. We expect to increase the number of our sales and marketing personnel as we expand into new geographic markets. We intend to expand our sales presence and marketing efforts to additional countries in the future. </w:t>
      </w:r>
    </w:p>
    <w:p>
      <w:pPr>
        <w:pStyle w:val="TextBody"/>
        <w:spacing w:lineRule="auto" w:line="288" w:before="240" w:after="283"/>
        <w:jc w:val="both"/>
        <w:rPr/>
      </w:pPr>
      <w:r>
        <w:rPr>
          <w:rFonts w:ascii="Times New Roman;sans-serif" w:hAnsi="Times New Roman;sans-serif"/>
          <w:b/>
          <w:i/>
          <w:color w:val="000000"/>
          <w:sz w:val="20"/>
        </w:rPr>
        <w:t>General and Administrative Expenses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We expect general and administrative expenses to increase in the future as we scale our headcount with the growth of our business. We also expect that we will incur additional audit, tax, accounting, legal and other costs related to compliance with applicable securities and other regulations, as well as additional insurance, investor relations and other costs associated with being a public company. </w:t>
      </w:r>
    </w:p>
    <w:p>
      <w:pPr>
        <w:pStyle w:val="TextBody"/>
        <w:spacing w:lineRule="auto" w:line="288" w:before="240" w:after="283"/>
        <w:jc w:val="both"/>
        <w:rPr/>
      </w:pPr>
      <w:r>
        <w:rPr>
          <w:rFonts w:ascii="Times New Roman;sans-serif" w:hAnsi="Times New Roman;sans-serif"/>
          <w:b/>
          <w:i/>
          <w:color w:val="000000"/>
          <w:sz w:val="20"/>
        </w:rPr>
        <w:t>Depreciation and Amortization</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consists primarily of interest previously incurred on our now extinguished Line of Credit and Promissory Notes, unused line fees related to the revolving credit facility by and among Fluence Energy, LLC, as the borrower, Fluence Energy, Inc., as a parent guarantor, the subsidiary guarantors party thereto, the lenders party thereto and JP Morgan Chase Bank, N.A., as administrative agent and collateral agent (the “Revolver”), and amortization of debt issuance costs. </w:t>
      </w:r>
    </w:p>
    <w:p>
      <w:pPr>
        <w:pStyle w:val="TextBody"/>
        <w:spacing w:lineRule="auto" w:line="288" w:before="240" w:after="283"/>
        <w:jc w:val="both"/>
        <w:rPr/>
      </w:pPr>
      <w:r>
        <w:rPr>
          <w:rFonts w:ascii="Times New Roman;sans-serif" w:hAnsi="Times New Roman;sans-serif"/>
          <w:b/>
          <w:i/>
          <w:color w:val="000000"/>
          <w:sz w:val="20"/>
        </w:rPr>
        <w:t>Other Income (Expense), Net</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of income (expense) from foreign currency exchange adjustments for monetary assets and liabilities.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Income Tax Expense</w:t>
      </w:r>
      <w:r>
        <w:rPr>
          <w:color w:val="000000"/>
        </w:rPr>
        <w:t xml:space="preserve"> </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prior to our IPO, Fluence Energy, LLC was not subject to U.S. federal or state income tax. As such, Fluence Energy, LLC did not pay U.S. federal or state income tax, as taxable income or loss will be included in the U.S. tax returns of its members. At the same time, Fluence Energy, LLC was subject to income taxes, including withholding taxes, outside the U.S. and our income tax expense (benefit) on the consolidated statements of operations primarily relates to income taxes from foreign operations and changes in valuation allowances related to deferred tax assets of certain foreign subsidiaries. After our IPO, we are now subject to U.S. federal and state income taxes with respect to our allocable share of any taxable income or loss of Fluence Energy, LLC, and we are taxed at the prevailing corporate tax rates. We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entered into between the Founders, Fluence Energy, Inc. and Fluence Energy, LLC at the time of the IPO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pPr>
      <w:r>
        <w:rPr>
          <w:rFonts w:ascii="Times New Roman;sans-serif" w:hAnsi="Times New Roman;sans-serif"/>
          <w:b/>
          <w:color w:val="000000"/>
          <w:sz w:val="20"/>
        </w:rPr>
        <w:t>Key Operating Metrics</w:t>
      </w:r>
      <w:r>
        <w:rPr>
          <w:color w:val="000000"/>
        </w:rPr>
        <w:t xml:space="preserve">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key operating metrics as of March 31, 2022 and September 30, 2021, and for the three months and six months ended March 31, 2022 and 2021.</w:t>
      </w:r>
    </w:p>
    <w:tbl>
      <w:tblPr>
        <w:tblW w:w="9231" w:type="dxa"/>
        <w:jc w:val="left"/>
        <w:tblInd w:w="0" w:type="dxa"/>
        <w:tblCellMar>
          <w:top w:w="28" w:type="dxa"/>
          <w:left w:w="28" w:type="dxa"/>
          <w:bottom w:w="28" w:type="dxa"/>
          <w:right w:w="28" w:type="dxa"/>
        </w:tblCellMar>
      </w:tblPr>
      <w:tblGrid>
        <w:gridCol w:w="830"/>
        <w:gridCol w:w="730"/>
        <w:gridCol w:w="735"/>
        <w:gridCol w:w="109"/>
        <w:gridCol w:w="109"/>
        <w:gridCol w:w="109"/>
        <w:gridCol w:w="479"/>
        <w:gridCol w:w="479"/>
        <w:gridCol w:w="481"/>
        <w:gridCol w:w="109"/>
        <w:gridCol w:w="109"/>
        <w:gridCol w:w="109"/>
        <w:gridCol w:w="589"/>
        <w:gridCol w:w="589"/>
        <w:gridCol w:w="591"/>
        <w:gridCol w:w="109"/>
        <w:gridCol w:w="109"/>
        <w:gridCol w:w="109"/>
        <w:gridCol w:w="308"/>
        <w:gridCol w:w="308"/>
        <w:gridCol w:w="266"/>
        <w:gridCol w:w="109"/>
        <w:gridCol w:w="109"/>
        <w:gridCol w:w="109"/>
        <w:gridCol w:w="307"/>
        <w:gridCol w:w="309"/>
        <w:gridCol w:w="550"/>
        <w:gridCol w:w="109"/>
        <w:gridCol w:w="109"/>
        <w:gridCol w:w="154"/>
      </w:tblGrid>
      <w:tr>
        <w:trPr/>
        <w:tc>
          <w:tcPr>
            <w:tcW w:w="83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MW)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Energy Storage Products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Deployed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5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5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14,135 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14,161 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Service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under Management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5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5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12,389 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5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under Management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5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5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5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78"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59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26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550"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42" w:type="dxa"/>
        <w:jc w:val="left"/>
        <w:tblInd w:w="0" w:type="dxa"/>
        <w:tblCellMar>
          <w:top w:w="28" w:type="dxa"/>
          <w:left w:w="28" w:type="dxa"/>
          <w:bottom w:w="28" w:type="dxa"/>
          <w:right w:w="28" w:type="dxa"/>
        </w:tblCellMar>
      </w:tblPr>
      <w:tblGrid>
        <w:gridCol w:w="465"/>
        <w:gridCol w:w="277"/>
        <w:gridCol w:w="279"/>
        <w:gridCol w:w="109"/>
        <w:gridCol w:w="109"/>
        <w:gridCol w:w="109"/>
        <w:gridCol w:w="310"/>
        <w:gridCol w:w="306"/>
        <w:gridCol w:w="109"/>
        <w:gridCol w:w="109"/>
        <w:gridCol w:w="109"/>
        <w:gridCol w:w="109"/>
        <w:gridCol w:w="310"/>
        <w:gridCol w:w="156"/>
        <w:gridCol w:w="109"/>
        <w:gridCol w:w="109"/>
        <w:gridCol w:w="109"/>
        <w:gridCol w:w="109"/>
        <w:gridCol w:w="308"/>
        <w:gridCol w:w="308"/>
        <w:gridCol w:w="251"/>
        <w:gridCol w:w="109"/>
        <w:gridCol w:w="109"/>
        <w:gridCol w:w="109"/>
        <w:gridCol w:w="308"/>
        <w:gridCol w:w="308"/>
        <w:gridCol w:w="417"/>
        <w:gridCol w:w="109"/>
        <w:gridCol w:w="109"/>
        <w:gridCol w:w="109"/>
        <w:gridCol w:w="418"/>
        <w:gridCol w:w="198"/>
        <w:gridCol w:w="109"/>
        <w:gridCol w:w="109"/>
        <w:gridCol w:w="109"/>
        <w:gridCol w:w="109"/>
        <w:gridCol w:w="374"/>
        <w:gridCol w:w="242"/>
        <w:gridCol w:w="109"/>
        <w:gridCol w:w="109"/>
        <w:gridCol w:w="109"/>
        <w:gridCol w:w="109"/>
        <w:gridCol w:w="308"/>
        <w:gridCol w:w="308"/>
        <w:gridCol w:w="251"/>
        <w:gridCol w:w="109"/>
        <w:gridCol w:w="109"/>
        <w:gridCol w:w="109"/>
        <w:gridCol w:w="308"/>
        <w:gridCol w:w="308"/>
        <w:gridCol w:w="472"/>
      </w:tblGrid>
      <w:tr>
        <w:trPr/>
        <w:tc>
          <w:tcPr>
            <w:tcW w:w="46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102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(amounts in MW)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Energy Storage Products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939.3 </w:t>
            </w:r>
          </w:p>
        </w:tc>
        <w:tc>
          <w:tcPr>
            <w:tcW w:w="4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677.6 </w:t>
            </w:r>
          </w:p>
        </w:tc>
        <w:tc>
          <w:tcPr>
            <w:tcW w:w="4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Service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462.3 </w:t>
            </w:r>
          </w:p>
        </w:tc>
        <w:tc>
          <w:tcPr>
            <w:tcW w:w="4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4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25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417"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251"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472"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pPr>
      <w:r>
        <w:rPr>
          <w:rFonts w:ascii="Times New Roman;sans-serif" w:hAnsi="Times New Roman;sans-serif"/>
          <w:b/>
          <w:i/>
          <w:color w:val="000000"/>
          <w:sz w:val="20"/>
        </w:rPr>
        <w:t>Deployed or Asset Under Management</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Deployed represents cumulative energy storage products that have achieved substantial completion and are not decommissioned.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 under management for service contracts represents our long-term service contracts with customers associated with our completed energy storage system products. We start providing maintenance, monitoring, or other operational services after the storage product projects are completed.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 under management for digital software contracts represents the amount of MWs subject to signed digital application contracts, including those associated with Fluence Trading Platform. </w:t>
      </w:r>
    </w:p>
    <w:p>
      <w:pPr>
        <w:pStyle w:val="TextBody"/>
        <w:spacing w:lineRule="auto" w:line="288" w:before="240" w:after="283"/>
        <w:jc w:val="both"/>
        <w:rPr/>
      </w:pPr>
      <w:r>
        <w:rPr>
          <w:rFonts w:ascii="Times New Roman;sans-serif" w:hAnsi="Times New Roman;sans-serif"/>
          <w:b/>
          <w:i/>
          <w:color w:val="000000"/>
          <w:sz w:val="20"/>
        </w:rPr>
        <w:t>Contracted Backlog and Contracted</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energy storage products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 contracts, contracted backlog includes signed agreements where the associated subscription has not started.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Contracted represents new energy storage product contracts, new service contracts and new digital application contracts signed during each period presented.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i/>
          <w:color w:val="000000"/>
          <w:sz w:val="20"/>
        </w:rPr>
        <w:t>Pipeline</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Pipeline represents our uncontracted, potential revenue from energy storage products, service, and digital software contracts currently in process, which have a reasonable likelihood of contract execution within 24 months. Pipeline is monitored by management to understand the anticipated growth of our Company and our estimated future revenue related to customer contracts for our battery-based energy storage products and services. </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our contracted backlog or pipeline will result in actual revenue in the originally anticipated period or at all. Contracted backlog and pipeline may not generate margins equal to our historical operating results. We have only recently begun to track our contracted backlog and pipelines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and pipeline fail to result in revenue at all or in a timely manner, we could experience a reduction in revenue, profitability, and liquidity. See Item IA, Part I – “Risk Factors” in our 2021 Annual Report for further information on risks relating to our pipeline. Pipeline is an internal management metric that we construct from market information reported by our global sales force. We monitor and track our pipeline, but it is not 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Non-GAAP Financial Measures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contains references to certain non-GAAP financial measures, including Adjusted EBITDA, Adjusted Gross Profit (Loss), Adjusted Gross Profit Margin, Adjusted Net Loss, and Free Cash Flow.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calculated from the consolidated statements of operations using net income (loss) adjusted for (i) interest income (expense), net, (ii) income taxes, (iii) depreciation and amortization, (iv) stock-based compensation, and (v) other non-recurring income or expenses. Adjusted EBITDA may in the future also be adjusted for amounts impacting net income related to the Tax Receivable Agreement liability.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Gross Profit (Loss) is calculated using gross profit (loss), adjusted to exclude stock-based compensation and certain non-recurring income or expenses. Adjusted Gross Profit Margin is calculated using Adjusted Gross Profit (Loss) divided by total revenue.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Loss is calculated using net loss, adjusted to exclude (i) amortization of intangible assets, (ii) stock-based compensation, (iii) other non-recurring income or expenses, and (iv) tax impact of these adjustments.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Free Cash Flow is calculated from the consolidated statements of cash flows and is defined as net cash provided by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are intended as supplemental measures of performance and/or liquidity that are neither required by, nor presented in accordance with, GAAP. We present these non-GAAP measures because we believe they assist investors and analysts in comparing our performance across reporting periods on a consistent basis by excluding items that we do not believe are indicative of our core operating performance. In addition, we use certain of these non-GAAP measures (i) as factors in evaluating management’s performance when determining incentive compensation and (ii) to evaluate the effectiveness of our business strategies.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our non-GAAP measures for the periods indicated. </w:t>
      </w:r>
    </w:p>
    <w:tbl>
      <w:tblPr>
        <w:tblW w:w="12653" w:type="dxa"/>
        <w:jc w:val="left"/>
        <w:tblInd w:w="0" w:type="dxa"/>
        <w:tblCellMar>
          <w:top w:w="28" w:type="dxa"/>
          <w:left w:w="28" w:type="dxa"/>
          <w:bottom w:w="28" w:type="dxa"/>
          <w:right w:w="28" w:type="dxa"/>
        </w:tblCellMar>
      </w:tblPr>
      <w:tblGrid>
        <w:gridCol w:w="693"/>
        <w:gridCol w:w="306"/>
        <w:gridCol w:w="307"/>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315"/>
        <w:gridCol w:w="316"/>
        <w:gridCol w:w="451"/>
        <w:gridCol w:w="109"/>
        <w:gridCol w:w="109"/>
        <w:gridCol w:w="10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315"/>
        <w:gridCol w:w="316"/>
        <w:gridCol w:w="472"/>
      </w:tblGrid>
      <w:tr>
        <w:trPr/>
        <w:tc>
          <w:tcPr>
            <w:tcW w:w="69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130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Change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30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8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0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(deduct):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Non-recurring expenses</w:t>
            </w:r>
            <w:r>
              <w:rPr>
                <w:rFonts w:ascii="Times New Roman;sans-serif" w:hAnsi="Times New Roman;sans-serif"/>
                <w:b w:val="false"/>
                <w:i/>
                <w:color w:val="000000"/>
                <w:sz w:val="13"/>
              </w:rPr>
              <w:t xml:space="preserve">(b)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Adjusted EBITDA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(a) Included awards that will be settled in shares and awards that will be settled in cash.</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(b) Amount for the three months ended March 31, 2022 included a $(1.7) million reduction related to COVID-19 pandemic costs as a result of release of prior period project charges net of non-recurring excess shipping costs, and a $4.4 million loss related to the 2021 Cargo Loss Incident. </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Amount for the six months ended March 31, 2022 included $35.3 million costs related to COVID-19 pandemic including non-recurring excess shipping costs, project charges and other costs, a $8.6 million loss related to the 2021 Cargo Loss Incident, and $0.1 million non-recurring IPO-related expenses which did not qualify for capitalization.</w:t>
      </w:r>
    </w:p>
    <w:tbl>
      <w:tblPr>
        <w:tblW w:w="13702" w:type="dxa"/>
        <w:jc w:val="left"/>
        <w:tblInd w:w="0" w:type="dxa"/>
        <w:tblCellMar>
          <w:top w:w="28" w:type="dxa"/>
          <w:left w:w="28" w:type="dxa"/>
          <w:bottom w:w="28" w:type="dxa"/>
          <w:right w:w="28" w:type="dxa"/>
        </w:tblCellMar>
      </w:tblPr>
      <w:tblGrid>
        <w:gridCol w:w="693"/>
        <w:gridCol w:w="306"/>
        <w:gridCol w:w="307"/>
        <w:gridCol w:w="109"/>
        <w:gridCol w:w="109"/>
        <w:gridCol w:w="109"/>
        <w:gridCol w:w="211"/>
        <w:gridCol w:w="826"/>
        <w:gridCol w:w="271"/>
        <w:gridCol w:w="109"/>
        <w:gridCol w:w="109"/>
        <w:gridCol w:w="109"/>
        <w:gridCol w:w="211"/>
        <w:gridCol w:w="721"/>
        <w:gridCol w:w="271"/>
        <w:gridCol w:w="109"/>
        <w:gridCol w:w="109"/>
        <w:gridCol w:w="109"/>
        <w:gridCol w:w="211"/>
        <w:gridCol w:w="826"/>
        <w:gridCol w:w="109"/>
        <w:gridCol w:w="109"/>
        <w:gridCol w:w="109"/>
        <w:gridCol w:w="109"/>
        <w:gridCol w:w="368"/>
        <w:gridCol w:w="368"/>
        <w:gridCol w:w="417"/>
        <w:gridCol w:w="109"/>
        <w:gridCol w:w="109"/>
        <w:gridCol w:w="109"/>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368"/>
        <w:gridCol w:w="368"/>
        <w:gridCol w:w="472"/>
      </w:tblGrid>
      <w:tr>
        <w:trPr/>
        <w:tc>
          <w:tcPr>
            <w:tcW w:w="69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130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3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0"/>
              </w:rPr>
              <w:t>Change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30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5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20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357,472 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4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208,552 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(1553.0)</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(1267.8)</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(deduct):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Non-recurring expenses</w:t>
            </w:r>
            <w:r>
              <w:rPr>
                <w:rFonts w:ascii="Times New Roman;sans-serif" w:hAnsi="Times New Roman;sans-serif"/>
                <w:b w:val="false"/>
                <w:i/>
                <w:color w:val="000000"/>
                <w:sz w:val="13"/>
              </w:rPr>
              <w:t xml:space="preserve">(b)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Adjusted Gross Profit Margin %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(a) Included awards that will be settled in shares and awards that will be settled in cash.</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(b) Amount for the three months ended March 31, 2022 included a $(1.7) million reduction related to COVID-19 pandemic costs as a result of release of prior period project charges net of non-recurring excess shipping costs, and a $4.4 million loss related to the 2021 Cargo Loss Incident. </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Amount for the six months ended March 31, 2022 included $35.3 million costs related to COVID-19 pandemic including non-recurring excess shipping costs, project charges and other costs, and a $8.6 million loss related to the 2021 Cargo Loss Incident. </w:t>
      </w:r>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(c) Some amounts may not reconcile due to rounding.</w:t>
      </w:r>
    </w:p>
    <w:tbl>
      <w:tblPr>
        <w:tblW w:w="12619" w:type="dxa"/>
        <w:jc w:val="left"/>
        <w:tblInd w:w="0" w:type="dxa"/>
        <w:tblCellMar>
          <w:top w:w="28" w:type="dxa"/>
          <w:left w:w="28" w:type="dxa"/>
          <w:bottom w:w="28" w:type="dxa"/>
          <w:right w:w="28" w:type="dxa"/>
        </w:tblCellMar>
      </w:tblPr>
      <w:tblGrid>
        <w:gridCol w:w="626"/>
        <w:gridCol w:w="373"/>
        <w:gridCol w:w="307"/>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315"/>
        <w:gridCol w:w="316"/>
        <w:gridCol w:w="417"/>
        <w:gridCol w:w="109"/>
        <w:gridCol w:w="109"/>
        <w:gridCol w:w="10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315"/>
        <w:gridCol w:w="316"/>
        <w:gridCol w:w="472"/>
      </w:tblGrid>
      <w:tr>
        <w:trPr/>
        <w:tc>
          <w:tcPr>
            <w:tcW w:w="62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130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1"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1"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30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4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0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(deduct):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Stock-based compensation</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Non-recurring expenses</w:t>
            </w:r>
            <w:r>
              <w:rPr>
                <w:rFonts w:ascii="Times New Roman;sans-serif" w:hAnsi="Times New Roman;sans-serif"/>
                <w:b w:val="false"/>
                <w:i/>
                <w:color w:val="000000"/>
                <w:sz w:val="13"/>
              </w:rPr>
              <w:t>(b)</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3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Adjusted Net Loss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(a) Included awards that will be settled in shares and awards that will be settled in cash.</w:t>
      </w:r>
    </w:p>
    <w:p>
      <w:pPr>
        <w:pStyle w:val="TextBody"/>
        <w:spacing w:lineRule="auto" w:line="288" w:before="0" w:after="0"/>
        <w:jc w:val="both"/>
        <w:rPr/>
      </w:pPr>
      <w:r>
        <w:rPr>
          <w:rFonts w:ascii="Times New Roman;sans-serif" w:hAnsi="Times New Roman;sans-serif"/>
          <w:b w:val="false"/>
          <w:i/>
          <w:color w:val="000000"/>
          <w:sz w:val="16"/>
        </w:rPr>
        <w:t>(b)</w:t>
      </w:r>
      <w:r>
        <w:rPr>
          <w:color w:val="EE2724"/>
        </w:rPr>
        <w:t xml:space="preserve"> </w:t>
      </w:r>
      <w:r>
        <w:rPr>
          <w:rFonts w:ascii="Times New Roman;sans-serif" w:hAnsi="Times New Roman;sans-serif"/>
          <w:b w:val="false"/>
          <w:i/>
          <w:color w:val="000000"/>
          <w:sz w:val="16"/>
        </w:rPr>
        <w:t xml:space="preserve">Amount for the three months ended March 31, 2022 included a $(1.7) million reduction related to COVID-19 pandemic costs as a result of release of prior period project charges net of non-recurring excess shipping costs, and a $4.4 million loss related to the 2021 Cargo Loss Incident.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Amount for the six months ended March 31, 2022 included $35.3 million costs related to COVID-19 pandemic including non-recurring excess shipping costs, project charges and other costs, a $8.6 million loss related to the 2021 Cargo Loss Incident, and $0.1 million non-recurring IPO-related expenses which did not qualify for capitalization.</w:t>
      </w:r>
    </w:p>
    <w:tbl>
      <w:tblPr>
        <w:tblW w:w="9471" w:type="dxa"/>
        <w:jc w:val="left"/>
        <w:tblInd w:w="0" w:type="dxa"/>
        <w:tblCellMar>
          <w:top w:w="28" w:type="dxa"/>
          <w:left w:w="28" w:type="dxa"/>
          <w:bottom w:w="28" w:type="dxa"/>
          <w:right w:w="28" w:type="dxa"/>
        </w:tblCellMar>
      </w:tblPr>
      <w:tblGrid>
        <w:gridCol w:w="1271"/>
        <w:gridCol w:w="1117"/>
        <w:gridCol w:w="1122"/>
        <w:gridCol w:w="109"/>
        <w:gridCol w:w="109"/>
        <w:gridCol w:w="109"/>
        <w:gridCol w:w="211"/>
        <w:gridCol w:w="901"/>
        <w:gridCol w:w="109"/>
        <w:gridCol w:w="109"/>
        <w:gridCol w:w="109"/>
        <w:gridCol w:w="109"/>
        <w:gridCol w:w="211"/>
        <w:gridCol w:w="796"/>
        <w:gridCol w:w="109"/>
        <w:gridCol w:w="109"/>
        <w:gridCol w:w="109"/>
        <w:gridCol w:w="109"/>
        <w:gridCol w:w="211"/>
        <w:gridCol w:w="796"/>
        <w:gridCol w:w="109"/>
        <w:gridCol w:w="109"/>
        <w:gridCol w:w="109"/>
        <w:gridCol w:w="109"/>
        <w:gridCol w:w="293"/>
        <w:gridCol w:w="293"/>
        <w:gridCol w:w="614"/>
      </w:tblGrid>
      <w:tr>
        <w:trPr/>
        <w:tc>
          <w:tcPr>
            <w:tcW w:w="1271"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351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1"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51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20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6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Free Cash Flows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00" w:after="283"/>
        <w:ind w:left="0" w:right="0" w:firstLine="360"/>
        <w:jc w:val="both"/>
        <w:rPr/>
      </w:pPr>
      <w:r>
        <w:rPr>
          <w:rFonts w:ascii="Times New Roman;sans-serif" w:hAnsi="Times New Roman;sans-serif"/>
          <w:b w:val="false"/>
          <w:color w:val="000000"/>
          <w:sz w:val="20"/>
        </w:rPr>
        <w:t>The following table sets forth our operating results for the periods indicated.</w:t>
      </w:r>
      <w:r>
        <w:rPr>
          <w:color w:val="000000"/>
        </w:rPr>
        <w:t xml:space="preserve"> </w:t>
      </w:r>
    </w:p>
    <w:tbl>
      <w:tblPr>
        <w:tblW w:w="13748" w:type="dxa"/>
        <w:jc w:val="left"/>
        <w:tblInd w:w="0" w:type="dxa"/>
        <w:tblCellMar>
          <w:top w:w="28" w:type="dxa"/>
          <w:left w:w="28" w:type="dxa"/>
          <w:bottom w:w="28" w:type="dxa"/>
          <w:right w:w="28" w:type="dxa"/>
        </w:tblCellMar>
      </w:tblPr>
      <w:tblGrid>
        <w:gridCol w:w="798"/>
        <w:gridCol w:w="306"/>
        <w:gridCol w:w="307"/>
        <w:gridCol w:w="109"/>
        <w:gridCol w:w="109"/>
        <w:gridCol w:w="109"/>
        <w:gridCol w:w="211"/>
        <w:gridCol w:w="826"/>
        <w:gridCol w:w="271"/>
        <w:gridCol w:w="109"/>
        <w:gridCol w:w="109"/>
        <w:gridCol w:w="109"/>
        <w:gridCol w:w="211"/>
        <w:gridCol w:w="736"/>
        <w:gridCol w:w="271"/>
        <w:gridCol w:w="109"/>
        <w:gridCol w:w="109"/>
        <w:gridCol w:w="109"/>
        <w:gridCol w:w="211"/>
        <w:gridCol w:w="826"/>
        <w:gridCol w:w="109"/>
        <w:gridCol w:w="109"/>
        <w:gridCol w:w="109"/>
        <w:gridCol w:w="109"/>
        <w:gridCol w:w="368"/>
        <w:gridCol w:w="368"/>
        <w:gridCol w:w="367"/>
        <w:gridCol w:w="109"/>
        <w:gridCol w:w="109"/>
        <w:gridCol w:w="109"/>
        <w:gridCol w:w="211"/>
        <w:gridCol w:w="841"/>
        <w:gridCol w:w="271"/>
        <w:gridCol w:w="109"/>
        <w:gridCol w:w="109"/>
        <w:gridCol w:w="109"/>
        <w:gridCol w:w="211"/>
        <w:gridCol w:w="826"/>
        <w:gridCol w:w="271"/>
        <w:gridCol w:w="109"/>
        <w:gridCol w:w="109"/>
        <w:gridCol w:w="109"/>
        <w:gridCol w:w="211"/>
        <w:gridCol w:w="841"/>
        <w:gridCol w:w="109"/>
        <w:gridCol w:w="109"/>
        <w:gridCol w:w="109"/>
        <w:gridCol w:w="109"/>
        <w:gridCol w:w="368"/>
        <w:gridCol w:w="368"/>
        <w:gridCol w:w="418"/>
      </w:tblGrid>
      <w:tr>
        <w:trPr/>
        <w:tc>
          <w:tcPr>
            <w:tcW w:w="79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141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1" w:before="20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March 31,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5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r>
      <w:tr>
        <w:trPr/>
        <w:tc>
          <w:tcPr>
            <w:tcW w:w="141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0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5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goods and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357,472 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208,552 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(1267.8)</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3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(171,678)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(172,164)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Fluence Energy, Inc.</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(19,185)</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2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2022 to the Three Months Ended March 31, 2021, and the Six Months Ended March 31, 2022 to the Six Months Ended March 31, 2021</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Total Revenue</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was $342.7 million for the three months ended March 31, 2022, compared to $98.1 million for the three months ended March 31, 2021, representing an increase of $244.6 million, or 249.2%. Total revenue was $517.6 million for the six months ended March 31, 2022, compared to $214.4 million for the six months ended March 31, 2021, representing an increase of $303.2 million, or 141.5%. The increases for the three and six month periods compared to the same periods of the prior year were attributable to the sales of our battery energy storage products as we expanded our business, particularly in the Americas and EMEA regions, which has been partially offset by impacts of COVID-19 pandemic related delays in shipping energy storage products.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pPr>
      <w:r>
        <w:rPr>
          <w:rFonts w:ascii="Times New Roman;sans-serif" w:hAnsi="Times New Roman;sans-serif"/>
          <w:b/>
          <w:i/>
          <w:color w:val="000000"/>
          <w:sz w:val="20"/>
        </w:rPr>
        <w:t>Costs of Goods and Services</w:t>
      </w:r>
      <w:r>
        <w:rPr>
          <w:color w:val="000000"/>
        </w:rPr>
        <w:t xml:space="preserve"> </w:t>
      </w:r>
    </w:p>
    <w:p>
      <w:pPr>
        <w:pStyle w:val="TextBody"/>
        <w:spacing w:lineRule="auto" w:line="288" w:before="160" w:after="283"/>
        <w:ind w:left="0" w:right="0" w:firstLine="360"/>
        <w:jc w:val="both"/>
        <w:rPr/>
      </w:pPr>
      <w:r>
        <w:rPr>
          <w:rFonts w:ascii="Times New Roman;sans-serif" w:hAnsi="Times New Roman;sans-serif"/>
          <w:b w:val="false"/>
          <w:color w:val="000000"/>
          <w:sz w:val="20"/>
        </w:rPr>
        <w:t>Cost of goods and services was $357.5 million for the three months ended March 31, 2022, compared to $97.1 million for the three months ended March 31, 2021, representing an increase of $260.4 million, or 268.1%. Cost of goods and services was $585.5 million for the six months ended March 31, 2022, compared to $208.6 million for the six months ended March 31, 2021, representing an increase of $377.0 million, or 180.7%. The increases for the three and six month periods compared to the same periods from prior year were primarily from an increase in the costs of materials and supplies associated with the sale of our battery energy storage products due to increased sales volume and material costs. The increase for the three month ended March 31, 2022 also included $0.7 million of stock-based compensation expense. The increase for the six months ended March 31, 2022 also included $35.3 million</w:t>
      </w:r>
      <w:r>
        <w:rPr>
          <w:color w:val="EE2724"/>
        </w:rPr>
        <w:t xml:space="preserve"> </w:t>
      </w:r>
      <w:r>
        <w:rPr>
          <w:rFonts w:ascii="Times New Roman;sans-serif" w:hAnsi="Times New Roman;sans-serif"/>
          <w:b w:val="false"/>
          <w:color w:val="000000"/>
          <w:sz w:val="20"/>
        </w:rPr>
        <w:t xml:space="preserve">of increased shipping costs and project charges primarily attributable to impact of the COVID-19 pandemic, and $4.3 million of stock-based compensation expense.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Gross Profit (Loss) and Gross Profit Margin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loss was $(14.7) million, and gross profit margin was (4.3)%, for the three months ended March 31, 2022, compared to a gross profit of $1.0 million, and a gross profit margin of 1.0%, for the three months ended March 31, 2021. Gross loss was $(67.9) million, and gross profit margin was (13.1)%, for the six months ended March 31, 2022, compared to a gross profit of $5.8 million, and a gross profit margin of 2.7%, for the six months ended March 31, 2021. The gross loss for the three and six months ended March 31, 2022 has been negatively impacted by (i) capacity constraints within the shipping industry and increased shipping costs, both of which are caused primarily as a result of the COVID-19 pandemic, (ii) cost overruns, delays and other project charges we are experiencing in some projects currently under construction, and (iii) the Cargo Loss Incident.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from $8.4 million for the three months ended March 31, 2021 to $13.3 million for the three months ended March 31, 2022. Research and development expenses increased from $12.5 million for the six months ended March 31, 2021 to $24.1 million for the six months ended March 31, 2022. The increases for the three and six month periods compared to the same periods from prior year were mainly related to increased personnel-related costs due to higher headcount to support the growth of the Company, including $1.5 million and $3.3 million of stock-based compensation expense recognized for the three months and six months ended March 31, 2022, respectively. </w:t>
      </w:r>
    </w:p>
    <w:p>
      <w:pPr>
        <w:pStyle w:val="TextBody"/>
        <w:spacing w:lineRule="auto" w:line="288" w:before="240" w:after="283"/>
        <w:jc w:val="both"/>
        <w:rPr/>
      </w:pPr>
      <w:r>
        <w:rPr>
          <w:rFonts w:ascii="Times New Roman;sans-serif" w:hAnsi="Times New Roman;sans-serif"/>
          <w:b/>
          <w:i/>
          <w:color w:val="000000"/>
          <w:sz w:val="20"/>
        </w:rPr>
        <w:t>Sales and Marketing Expenses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from $5.2 million for the three months ended March 31, 2021 to $6.2 million for the three months ended March 31, 2022. Sales and marketing expenses increased from $9.9 million for the six months ended March 31, 2021 to $19.3 million for the six months ended March 31, 2022. The increases for the three and six month periods compared to the same periods from prior year were primarily related to increased personnel-related expenses for our sales and marketing organization, consultants and other third-party vendors, including $4.5 million of stock-based compensation expense recognized for the six months ended March 31, 2022. </w:t>
      </w:r>
    </w:p>
    <w:p>
      <w:pPr>
        <w:pStyle w:val="TextBody"/>
        <w:spacing w:lineRule="auto" w:line="288" w:before="240" w:after="283"/>
        <w:jc w:val="both"/>
        <w:rPr/>
      </w:pPr>
      <w:r>
        <w:rPr>
          <w:rFonts w:ascii="Times New Roman;sans-serif" w:hAnsi="Times New Roman;sans-serif"/>
          <w:b/>
          <w:i/>
          <w:color w:val="000000"/>
          <w:sz w:val="20"/>
        </w:rPr>
        <w:t>General and Administrative Expenses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from $8.3 million for the three months ended March 31, 2021 to $25.2 million for the three months ended March 31, 2022. General and administrative expenses increased from $15.0 million for the six months ended March 31, 2021 to $56.4 million for the six months ended March 31, 2022. The increases for the three and six month periods compared to the same periods from prior year were mainly related to increases in personnel-related expenses, as well as expenses for outside professional services as we have been expanding our personnel headcount rapidly to support our growth. The personnel-related expenses included $2.4 million and $15.5 million of stock-based compensation expense recognized for the three and six months ended March 31, 2022, respectively.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Depreciation and Amortization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increased $0.3 million and $0.7 million for the three and six months ended March 31, 2022, respectively, compared to the same periods prior year. The slight increases were attributable to the depreciation from increased investment in property and equipment to support the Company’s growth.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$0.3 million for the three months ended March 31, 2022 compared to the same period from prior year. The increase was mainly due to the unused line fees related to the Revolver and amortization of debt issuance costs. Interest expense increased $0.9 million for the six months ended March 31, 2022 compared to the same period from prior year. The increase was mainly due to short-term borrowings from the Promissory Notes and Line of Credit, unused line fees related to the Revolver and amortization of debt issuance costs.</w:t>
      </w:r>
    </w:p>
    <w:p>
      <w:pPr>
        <w:pStyle w:val="TextBody"/>
        <w:spacing w:lineRule="auto" w:line="288" w:before="240" w:after="283"/>
        <w:jc w:val="both"/>
        <w:rPr/>
      </w:pPr>
      <w:r>
        <w:rPr>
          <w:rFonts w:ascii="Times New Roman;sans-serif" w:hAnsi="Times New Roman;sans-serif"/>
          <w:b/>
          <w:i/>
          <w:color w:val="000000"/>
          <w:sz w:val="20"/>
        </w:rPr>
        <w:t>Other Income (Expense), Net</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was $1.1 million for the three months ended March 31, 2022, compared to other expense, net of $(0.7) million for the three months ended March 31, 2021. Other income, net was $0.3 million for the six months ended March 31, 2022, compared to other expense, net of $(0.5) million for the six months ended March 31, 2021. The change was mainly a result of foreign currency exchange adjustments for monetary assets and liabilities.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$0.1 million for the three months ended March 31, 2022 and $0.5 million for the three months ended March 31, 2021. The effective income tax rate was (0.2)% and (2.2)% for the three months ended March 31, 2022 and 2021, respectively. The decrease in income tax expense and change in effective tax rate for the three months ended March 31, 2022 compared to the same period in 2021 were primarily due to an increase in global pre-tax loss.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$0.5 million for the six months ended March 31, 2022 and $1.2 million for the six months ended March 31, 2021. The effective income tax rate was (0.3)% and (3.4)% for the six months ended March 31, 2022 and 2021, respectively. The decrease in income tax expense and change in effective tax rate for the six months ended March 31, 2022 compared to the same period in 2021 were primarily due to an increase in global pre-tax loss.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Liquidity and Capital Resources</w:t>
      </w:r>
      <w:r>
        <w:rPr>
          <w:color w:val="000000"/>
        </w:rPr>
        <w:t xml:space="preserve"> </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inception and through March 31, 2022, our principal sources of liquidity were the proceeds from our IPO, our cash and cash equivalents, short-term borrowings, capital contributions from AES Grid Stability and Siemens Industry, and proceeds from the QFH investment and supply chain financing. We believe the proceeds received from our IPO, cash flows from operations, along with short-term borrowing will be sufficient to meet our expense and capital requirements for at least the next twelve months following the filing of this Report.</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On November 1, 2021, upon the closing of our IPO, we received net proceeds of $935.8 million, after deducting underwriting discounts and offering expenses payable by the Company. </w:t>
      </w:r>
      <w:r>
        <w:rPr>
          <w:rFonts w:ascii="Times New Roman;sans-serif" w:hAnsi="Times New Roman;sans-serif"/>
          <w:b w:val="false"/>
          <w:color w:val="0D0D0D"/>
          <w:sz w:val="20"/>
        </w:rPr>
        <w:t xml:space="preserve">The net proceeds from the IPO have been used to purchase 35,650,000 newly issued 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the now extinguished Line of Credit and the Promissory Notes. The remainder of the proceeds has been used for working capital and other general corporate purposes. </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IPO, we had a Line of Credit with Citibank which allowed us to borrow an amount in aggregate not to exceed $50.0 million, with the expiration date on March 31, 2023. During the three months ended December 31, 2021, the Company paid off in full the $50.0 million outstanding borrowing under the Line of Credit using the proceeds from the IPO. The Line of Credit was canceled shortly thereafter.</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prior to the IPO, we funded our liquidity through borrowings from AES Grid Stability and Siemens Industry. On August 11, 2021, Fluence Energy, LLC entered into a promissory note with each of Siemens Industry and AES Grid Stability, under which Fluence Energy, LLC received a bridge financing of an aggregate of $50.0 million. In connection with the bridge financing, Fluence Energy, LLC issued a $25.0 million promissory note to each of Siemens Industry and AES Grid Stability. The Promissory Notes born interest at a rate of 2.86%. The Promissory Notes were repaid in full on November 1, 2021 using proceeds from the IPO.</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provided certain of our suppliers with access to a supply chain financing program through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Corporation (“AES”) and Siemens AG (“Siemens”). As of March 31, 2022, AES and Siemens issued guarantees of $50.0 million each, for a total of $100.0 million, to the SCF Bank on our behalf. As of March 31, 2022, we had $52.1 million of payables outstanding subject to the program. All outstanding payments owed under the program are recorded within “Accounts payable” on the condensed consolidated balance sheets.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the Revolver on November 1, 2021, by and among Fluence Energy, LLC, as the borrower, Fluence Energy Inc., as a parent guarantor, the subsidiary guarantors party thereto, the lenders party thereto and JP Morgan Chase Bank, N.A., as administrative agent and collateral agent.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As of March 31, 2022, the aggregate amount of commitments is $190.0 million from the lenders party including JP Morgan Chase Bank, N.A., Morgan Stanley Senior Funding, Inc., Bank of America, N.A., Barclays Bank PLC, and five other banks. The maturity date of the Revolver is November 1, 2025. The Revolver also provides for up to $190.0 million in letter of credit issuances.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Revolver contains covenants that, among other things, will restrict our ability to incur additional indebtedness; incur liens; sell, transfer, or dispose of property and assets; make investments or acquisitions; make dividends, distributions, or other restricted payments; and engage in affiliate transactions. The Revolver limits our ability to make certain payments, including dividends and distributions on Fluence Energy, LLC’s equity, Fluence Energy, Inc.’s equity and other restricted payments. In addition, we are required to maintain (i) minimum liquidity and gross revenue requirements, in each case, until consolidated EBITDA reaches $150.0 million for the most recent four fiscal quarters and we make an election, and (ii) thereafter, a maximum total leverage ratio and a minimum interest coverage ratio. Such covenants will be tested on a quarterly basis. </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we had no borrowings under the Revolver.</w:t>
      </w:r>
    </w:p>
    <w:p>
      <w:pPr>
        <w:pStyle w:val="TextBody"/>
        <w:spacing w:lineRule="auto" w:line="288" w:before="240" w:after="283"/>
        <w:jc w:val="both"/>
        <w:rPr/>
      </w:pPr>
      <w:r>
        <w:rPr>
          <w:rFonts w:ascii="Times New Roman;sans-serif" w:hAnsi="Times New Roman;sans-serif"/>
          <w:b/>
          <w:i/>
          <w:color w:val="000000"/>
          <w:sz w:val="20"/>
        </w:rPr>
        <w:t>Historical Cash Flows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from operating, investing, and financing activities for the periods presented. </w:t>
      </w:r>
    </w:p>
    <w:tbl>
      <w:tblPr>
        <w:tblW w:w="9591" w:type="dxa"/>
        <w:jc w:val="left"/>
        <w:tblInd w:w="0" w:type="dxa"/>
        <w:tblCellMar>
          <w:top w:w="28" w:type="dxa"/>
          <w:left w:w="28" w:type="dxa"/>
          <w:bottom w:w="28" w:type="dxa"/>
          <w:right w:w="28" w:type="dxa"/>
        </w:tblCellMar>
      </w:tblPr>
      <w:tblGrid>
        <w:gridCol w:w="1255"/>
        <w:gridCol w:w="1103"/>
        <w:gridCol w:w="1107"/>
        <w:gridCol w:w="109"/>
        <w:gridCol w:w="109"/>
        <w:gridCol w:w="109"/>
        <w:gridCol w:w="211"/>
        <w:gridCol w:w="901"/>
        <w:gridCol w:w="109"/>
        <w:gridCol w:w="109"/>
        <w:gridCol w:w="109"/>
        <w:gridCol w:w="109"/>
        <w:gridCol w:w="211"/>
        <w:gridCol w:w="796"/>
        <w:gridCol w:w="109"/>
        <w:gridCol w:w="109"/>
        <w:gridCol w:w="109"/>
        <w:gridCol w:w="109"/>
        <w:gridCol w:w="211"/>
        <w:gridCol w:w="826"/>
        <w:gridCol w:w="109"/>
        <w:gridCol w:w="109"/>
        <w:gridCol w:w="109"/>
        <w:gridCol w:w="109"/>
        <w:gridCol w:w="360"/>
        <w:gridCol w:w="361"/>
        <w:gridCol w:w="614"/>
      </w:tblGrid>
      <w:tr>
        <w:trPr/>
        <w:tc>
          <w:tcPr>
            <w:tcW w:w="1255"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33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828,044 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787,808 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1958.0 </w:t>
            </w:r>
          </w:p>
        </w:tc>
        <w:tc>
          <w:tcPr>
            <w:tcW w:w="614"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operating activities were $141.0 million for the six months ended March 31, 2022 compared to $83.1 million for the six months ended March 31, 2021. The increase in net operating cash outflows was mainly due to increased net loss for the six months ended March 31, 2022, and $60.0 million advance payment as a capacity guarantee pursuant to a purchase agreement with one of our suppliers.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were $2.4 million for the six months ended March 31, 2022, which included $1.3 million purchases of property and equipment and $1.1 million investment in equity securities. Net cash flows used in investing activities were $20.2 million for the six months ended March 31, 2021, which included $18.0 million cash paid for a business acquisition and $2.2 million purchases of property and equipment.</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financing activities were $828.0 million for the six months ended March 31, 2022, which included $948.0 million net proceeds from issuance of Class A common stock sold in the IPO, net of underwriting discounts, offset by the repayments of $100.0 million short term borrowings from the Line of Credit and the Promissory Notes, a $6.3 million payment of transaction cost related to issuance of membership units, $10.3 million payments of IPO-related costs, and $3.3 million payments of debt issuance costs related to the Revolver. Cash flows provided by financing activities were $40.2 million for the six months ended March 31, 2021, which included $38.0 million short term borrowings under the Line of Credit and $2.2 million other financing activities.</w:t>
      </w:r>
    </w:p>
    <w:p>
      <w:pPr>
        <w:pStyle w:val="TextBody"/>
        <w:spacing w:lineRule="auto" w:line="288" w:before="160" w:after="283"/>
        <w:jc w:val="both"/>
        <w:rPr/>
      </w:pPr>
      <w:r>
        <w:rPr>
          <w:rFonts w:ascii="Times New Roman;sans-serif" w:hAnsi="Times New Roman;sans-serif"/>
          <w:b/>
          <w:i/>
          <w:color w:val="000000"/>
          <w:sz w:val="20"/>
        </w:rPr>
        <w:t>Credit Support and Reimbursement Agreement</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Credit Support and Reimbursement Agreement will not provide any credit support from September 30, 2026, provided that either AES or Siemens Industry will be permitted to terminate the agreement upon six months prior notice.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Critical Accounting Policies and Use of Estimates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have been prepared in accordance with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Expense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Fluence Energy, LLC was not subject to U.S. federal or state income tax. As such, Fluence Energy, LLC did not pay U.S. federal or state income tax, as taxable income or loss will be included in the U.S. tax returns of its members. Fluence Energy, LLC is subject to income taxes, including withholding taxes, outside the U.S. and our income tax expense (benefit) on the consolidated statements of operations primarily relates to income taxes from foreign operations and changes in valuation allowances related to deferred tax assets of certain foreign subsidiaries. After our IPO, we are now subject to U.S. federal and state income taxes with respect to our allocable share of any taxable income or loss of Fluence Energy, LLC, and we are taxed at the prevailing corporate tax rates. We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 </w:t>
      </w:r>
    </w:p>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other significant changes in application of our critical accounting policies or estimation procedures from those presented in our 2021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Item 3. Quantitative and Qualitative Disclosures About Market Risk</w:t>
      </w:r>
      <w:r>
        <w:rPr>
          <w:color w:val="000000"/>
        </w:rPr>
        <w:t xml:space="preserve"> </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with respect to our exposure to market risk disclosed in our 2021 Annual Report. For a discussion of our exposure to market risk, refer to our market risk disclosures set forth in Part II, Item 7A, “Quantitative and Qualitative Disclosures About Market Risk” in our 2021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required by Exchange Act Rule 13a-15(b), our management, with the participation of our Chief Executive Officer and Chief Financial Officer, carried out an evaluation of the effectiveness of our disclosure controls and procedures (as defined in Rules 13a-15(e) and 15d-15(e) under the Exchange Act) as of March 31, 2022, the end of the period covered by this Report. Based upon that evaluation, and as a result of the material weaknesses described below, management concluded that, as of March 31, 2022, our disclosure controls and procedures were not effective at the reasonable assurance level.</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Material Weaknesses and Remediation Measures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 material weakness in the internal control over revenue recognition process has not been remediated. The design and implementation of controls did not sufficiently interpret ASC 606 and its application to in-transit, uninstalled or delivered equipment, as well as liquidated damages. We are in the process of remediating the material weakness which includes, without limitation, i) hiring additional experienced accounting, financial reporting and internal control personnel, ii) implementing controls to enhance our review of significant accounting transactions and other new technical accounting and financial reporting issues and preparing and reviewing accounting memoranda addressing these issues, and iii) implementing controls to enable an effective and timely review of account analyses and account reconciliations. We have recently hired additional resources, and we have engaged with a third-party consulting firm to assist us with our formal internal control plan and provide staff augmentation.</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making progress toward achieving the effectiveness of our internal control over financial reporting and disclosure controls and procedures. The actions that we are taking are subject to ongoing senior management review, as well as Audit Committee oversight. We will not be able to conclude whether the steps we are taking will fully remediate these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taking actions to remediate the material weaknesses relating to our internal control over financial reporting. Other than the changes to our internal control over financial reporting described in “Material Weakness and Remediation Measures” above, 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Item 1. Legal Proceedings</w:t>
      </w:r>
      <w:r>
        <w:rPr>
          <w:color w:val="000000"/>
        </w:rPr>
        <w:t xml:space="preserve"> </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involved in litigation relating to claims that arise out of our operations and businesses that cover a wide range of matters, including, among others, intellectual property matters, contract disputes, insurance and property damage claims,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 </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For a description of our material pending legal contingencies, please see Note 12-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the unaudited condensed consolidated financial statements included elsewhere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pPr>
      <w:r>
        <w:rPr>
          <w:rFonts w:ascii="Times New Roman;sans-serif" w:hAnsi="Times New Roman;sans-serif"/>
          <w:b/>
          <w:color w:val="000000"/>
          <w:sz w:val="20"/>
        </w:rPr>
        <w:t>Item 1A. Risk Factors</w:t>
      </w:r>
      <w:r>
        <w:rPr>
          <w:color w:val="000000"/>
        </w:rPr>
        <w:t xml:space="preserve"> </w:t>
      </w:r>
    </w:p>
    <w:p>
      <w:pPr>
        <w:pStyle w:val="TextBody"/>
        <w:spacing w:lineRule="auto" w:line="288" w:before="160" w:after="283"/>
        <w:ind w:left="0" w:right="0" w:firstLine="360"/>
        <w:jc w:val="both"/>
        <w:rPr/>
      </w:pPr>
      <w:r>
        <w:rPr>
          <w:rFonts w:ascii="Times New Roman;sans-serif" w:hAnsi="Times New Roman;sans-serif"/>
          <w:b w:val="false"/>
          <w:color w:val="000000"/>
          <w:sz w:val="20"/>
        </w:rPr>
        <w:t xml:space="preserve">There have been no material changes with respect to our risk factors previously disclosed in our 2021 Annual Report, other than the risk factors disclosed in our Quarterly Report on Form 10-Q for the quarterly period ended December 31, 2021 and as stated below. You should carefully consider the risks described in </w:t>
      </w:r>
      <w:hyperlink r:id="rId2">
        <w:r>
          <w:rPr>
            <w:rStyle w:val="InternetLink"/>
            <w:rFonts w:ascii="Times New Roman;sans-serif" w:hAnsi="Times New Roman;sans-serif"/>
            <w:b w:val="false"/>
            <w:color w:val="0000FF"/>
            <w:sz w:val="20"/>
            <w:u w:val="single"/>
          </w:rPr>
          <w:t>Item 1A. "Risk Factors" of our 2021 Annual Report</w:t>
        </w:r>
      </w:hyperlink>
      <w:r>
        <w:rPr>
          <w:rFonts w:ascii="Times New Roman;sans-serif" w:hAnsi="Times New Roman;sans-serif"/>
          <w:b w:val="false"/>
          <w:color w:val="000000"/>
          <w:sz w:val="20"/>
        </w:rPr>
        <w:t>, which are incorporated herein by reference, together with all of the other information included in this Report, before making an investment decision. Our business, financial condition and results of operations could be materially and adversely affected by any of these risks or uncertainties.</w:t>
      </w:r>
    </w:p>
    <w:p>
      <w:pPr>
        <w:pStyle w:val="TextBody"/>
        <w:spacing w:lineRule="auto" w:line="288" w:before="16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attract and retain highly qualified personnel in order to execute our business strategy and growth plan, our business and ability to compete may be adversely affected. </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Competition for highly qualified personnel is intense. We have, from time to time, experienced, and we expect to continue to experience, difficulty in hiring and retaining employees with appropriate qualifications. We may face high turnover, requiring us to expend time and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Portion of the grants starts to vest in the next quarter of the year. A prolonged depression in our stock price could make it difficult for us to retain our key and other employees and recruit additional qualified personnel and we may have to pay additional compensation to employees to incentivize them to join or stay with us. Further, many of the companies with which we compete for experienced personnel have greater financial resources than we have. If we hire employees from competitors or other companies, their former employers may attempt to assert that these employees or the Company has breached certain legal obligations, resulting in a diversion of our time and resources. If we fail to attract new personnel or fail to retain and motivate our current personnel, our business and future growth prospects and ability to compete could be adversely impacted.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68" w:before="16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following exhibits are filed as part of this Report</w:t>
      </w:r>
    </w:p>
    <w:tbl>
      <w:tblPr>
        <w:tblW w:w="10205" w:type="dxa"/>
        <w:jc w:val="left"/>
        <w:tblInd w:w="0" w:type="dxa"/>
        <w:tblCellMar>
          <w:top w:w="28" w:type="dxa"/>
          <w:left w:w="28" w:type="dxa"/>
          <w:bottom w:w="28" w:type="dxa"/>
          <w:right w:w="28" w:type="dxa"/>
        </w:tblCellMar>
      </w:tblPr>
      <w:tblGrid>
        <w:gridCol w:w="267"/>
        <w:gridCol w:w="234"/>
        <w:gridCol w:w="236"/>
        <w:gridCol w:w="109"/>
        <w:gridCol w:w="109"/>
        <w:gridCol w:w="109"/>
        <w:gridCol w:w="2145"/>
        <w:gridCol w:w="1960"/>
        <w:gridCol w:w="1898"/>
        <w:gridCol w:w="170"/>
        <w:gridCol w:w="170"/>
        <w:gridCol w:w="171"/>
        <w:gridCol w:w="255"/>
        <w:gridCol w:w="255"/>
        <w:gridCol w:w="224"/>
        <w:gridCol w:w="237"/>
        <w:gridCol w:w="237"/>
        <w:gridCol w:w="238"/>
        <w:gridCol w:w="347"/>
        <w:gridCol w:w="347"/>
        <w:gridCol w:w="487"/>
      </w:tblGrid>
      <w:tr>
        <w:trPr/>
        <w:tc>
          <w:tcPr>
            <w:tcW w:w="26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1960" w:type="dxa"/>
            <w:tcBorders/>
            <w:shd w:fill="auto" w:val="clear"/>
            <w:vAlign w:val="center"/>
          </w:tcPr>
          <w:p>
            <w:pPr>
              <w:pStyle w:val="TableContents"/>
              <w:spacing w:before="0" w:after="283"/>
              <w:rPr>
                <w:sz w:val="4"/>
                <w:szCs w:val="4"/>
              </w:rPr>
            </w:pPr>
            <w:r>
              <w:rPr>
                <w:sz w:val="4"/>
                <w:szCs w:val="4"/>
              </w:rPr>
            </w:r>
          </w:p>
        </w:tc>
        <w:tc>
          <w:tcPr>
            <w:tcW w:w="189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r>
      <w:tr>
        <w:trPr/>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37" w:type="dxa"/>
            <w:gridSpan w:val="3"/>
            <w:tcBorders/>
            <w:shd w:fill="auto" w:val="clear"/>
            <w:tcMar>
              <w:top w:w="0" w:type="dxa"/>
              <w:left w:w="0" w:type="dxa"/>
              <w:bottom w:w="0" w:type="dxa"/>
              <w:right w:w="0" w:type="dxa"/>
            </w:tcMar>
            <w:vAlign w:val="center"/>
          </w:tcPr>
          <w:p>
            <w:pPr>
              <w:pStyle w:val="TableContents"/>
              <w:spacing w:lineRule="auto" w:line="271" w:before="20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No.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7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0"/>
              <w:jc w:val="left"/>
              <w:rPr/>
            </w:pPr>
            <w:hyperlink r:id="rId3">
              <w:r>
                <w:rPr>
                  <w:rStyle w:val="InternetLink"/>
                  <w:rFonts w:ascii="Times New Roman;sans-serif" w:hAnsi="Times New Roman;sans-serif"/>
                  <w:b w:val="false"/>
                  <w:color w:val="0000FF"/>
                  <w:sz w:val="20"/>
                  <w:u w:val="single"/>
                </w:rPr>
                <w:t>Amended and Restated Certificate of Incorporation of Fluence Energy, Inc.</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r>
      <w:tr>
        <w:trPr/>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001-40978</w:t>
            </w:r>
          </w:p>
        </w:tc>
        <w:tc>
          <w:tcPr>
            <w:tcW w:w="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2021</w:t>
            </w:r>
          </w:p>
        </w:tc>
      </w:tr>
      <w:tr>
        <w:trPr/>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q2202210qex311.htm">
              <w:r>
                <w:rPr>
                  <w:rStyle w:val="InternetLink"/>
                  <w:rFonts w:ascii="Times New Roman;sans-serif" w:hAnsi="Times New Roman;sans-serif"/>
                  <w:b w:val="false"/>
                  <w:color w:val="0000FF"/>
                  <w:sz w:val="20"/>
                  <w:u w:val="single"/>
                </w:rPr>
                <w:t>Certification of the Company’s Chief Executive Officer pursuant to Rule 13a-14(a) and Rule 15d-14(a) of the Securities and Exchange Act of 1934, as amended, pursuant to Section 302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2202210qex312.htm">
              <w:r>
                <w:rPr>
                  <w:rStyle w:val="InternetLink"/>
                  <w:rFonts w:ascii="Times New Roman;sans-serif" w:hAnsi="Times New Roman;sans-serif"/>
                  <w:b w:val="false"/>
                  <w:color w:val="0000FF"/>
                  <w:sz w:val="20"/>
                  <w:u w:val="single"/>
                </w:rPr>
                <w:t>Certification of the Company’s Chief Financial Officer pursuant to Rule 13a-14(a) and Rule 15d-14(a) of the Securities and Exchange Act of 1934, as amended, pursuant to Section 302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q2202210qex321.htm">
              <w:r>
                <w:rPr>
                  <w:rStyle w:val="InternetLink"/>
                  <w:rFonts w:ascii="Times New Roman;sans-serif" w:hAnsi="Times New Roman;sans-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2202210qex322.htm">
              <w:r>
                <w:rPr>
                  <w:rStyle w:val="InternetLink"/>
                  <w:rFonts w:ascii="Times New Roman;sans-serif" w:hAnsi="Times New Roman;sans-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6003"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c>
          <w:tcPr>
            <w:tcW w:w="511"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34"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12"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81"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This certification is being furnished solely to accompany this Quarterly Report on Form 10-Q pursuant to 18 U.S.C. Section 1350, and is not being filed for purposes of Section 18 of the Securities Exchange Act of 1934, as amended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de5608f430074a14a62a1012eb0b17f1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52"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Section 13 or 15 (d) of the Securities Exchange Act of 1934, the registrant has duly caused this Report to be signed on its behalf by the undersigned, thereunto duly authorized. </w:t>
      </w:r>
    </w:p>
    <w:p>
      <w:pPr>
        <w:pStyle w:val="TextBody"/>
        <w:spacing w:before="0" w:after="0"/>
        <w:jc w:val="both"/>
        <w:rPr/>
      </w:pPr>
      <w:r>
        <w:rPr/>
      </w:r>
    </w:p>
    <w:p>
      <w:pPr>
        <w:pStyle w:val="TextBody"/>
        <w:spacing w:before="0" w:after="0"/>
        <w:ind w:left="0" w:right="0" w:firstLine="360"/>
        <w:jc w:val="both"/>
        <w:rPr/>
      </w:pPr>
      <w:r>
        <w:rPr/>
      </w:r>
    </w:p>
    <w:tbl>
      <w:tblPr>
        <w:tblW w:w="7376" w:type="dxa"/>
        <w:jc w:val="left"/>
        <w:tblInd w:w="0" w:type="dxa"/>
        <w:tblCellMar>
          <w:top w:w="28" w:type="dxa"/>
          <w:left w:w="28" w:type="dxa"/>
          <w:bottom w:w="28" w:type="dxa"/>
          <w:right w:w="28" w:type="dxa"/>
        </w:tblCellMar>
      </w:tblPr>
      <w:tblGrid>
        <w:gridCol w:w="629"/>
        <w:gridCol w:w="554"/>
        <w:gridCol w:w="557"/>
        <w:gridCol w:w="197"/>
        <w:gridCol w:w="197"/>
        <w:gridCol w:w="197"/>
        <w:gridCol w:w="197"/>
        <w:gridCol w:w="197"/>
        <w:gridCol w:w="197"/>
        <w:gridCol w:w="1301"/>
        <w:gridCol w:w="1301"/>
        <w:gridCol w:w="1852"/>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6"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5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Manuel Perez Dubuc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Manuel Perez Dubuc </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r>
    </w:tbl>
    <w:tbl>
      <w:tblPr>
        <w:tblW w:w="6955" w:type="dxa"/>
        <w:jc w:val="left"/>
        <w:tblInd w:w="0" w:type="dxa"/>
        <w:tblCellMar>
          <w:top w:w="28" w:type="dxa"/>
          <w:left w:w="28" w:type="dxa"/>
          <w:bottom w:w="28" w:type="dxa"/>
          <w:right w:w="28" w:type="dxa"/>
        </w:tblCellMar>
      </w:tblPr>
      <w:tblGrid>
        <w:gridCol w:w="629"/>
        <w:gridCol w:w="554"/>
        <w:gridCol w:w="557"/>
        <w:gridCol w:w="134"/>
        <w:gridCol w:w="134"/>
        <w:gridCol w:w="136"/>
        <w:gridCol w:w="109"/>
        <w:gridCol w:w="109"/>
        <w:gridCol w:w="109"/>
        <w:gridCol w:w="1307"/>
        <w:gridCol w:w="1307"/>
        <w:gridCol w:w="1870"/>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870"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Dennis Fehr </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Dennis Fehr </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w:t>
            </w:r>
          </w:p>
        </w:tc>
      </w:tr>
    </w:tbl>
    <w:p>
      <w:pPr>
        <w:pStyle w:val="TextBody"/>
        <w:spacing w:before="160" w:after="283"/>
        <w:ind w:left="0" w:right="0" w:firstLine="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AS AMENDED,</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Manuel Perez Dubuc, certify that:</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Fluence Energy, Inc.;</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spacing w:lineRule="auto" w:line="288" w:before="160" w:after="283"/>
        <w:ind w:left="0" w:right="0" w:firstLine="360"/>
        <w:rPr/>
      </w:pPr>
      <w:r>
        <w:rPr>
          <w:rFonts w:ascii="Times New Roman;sans-serif" w:hAnsi="Times New Roman;sans-serif"/>
          <w:b w:val="false"/>
          <w:color w:val="000000"/>
          <w:sz w:val="20"/>
        </w:rPr>
        <w:t>b) [</w:t>
      </w:r>
      <w:r>
        <w:rPr>
          <w:rFonts w:ascii="Times New Roman;sans-serif" w:hAnsi="Times New Roman;sans-serif"/>
          <w:b w:val="false"/>
          <w:color w:val="000000"/>
          <w:sz w:val="20"/>
          <w:highlight w:val="white"/>
        </w:rPr>
        <w:t>Omitted.]</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160" w:after="283"/>
        <w:ind w:left="0" w:right="0" w:firstLine="36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bl>
      <w:tblPr>
        <w:tblW w:w="5978" w:type="dxa"/>
        <w:jc w:val="left"/>
        <w:tblInd w:w="0" w:type="dxa"/>
        <w:tblCellMar>
          <w:top w:w="28" w:type="dxa"/>
          <w:left w:w="28" w:type="dxa"/>
          <w:bottom w:w="28" w:type="dxa"/>
          <w:right w:w="28" w:type="dxa"/>
        </w:tblCellMar>
      </w:tblPr>
      <w:tblGrid>
        <w:gridCol w:w="124"/>
        <w:gridCol w:w="109"/>
        <w:gridCol w:w="109"/>
        <w:gridCol w:w="197"/>
        <w:gridCol w:w="197"/>
        <w:gridCol w:w="197"/>
        <w:gridCol w:w="197"/>
        <w:gridCol w:w="197"/>
        <w:gridCol w:w="197"/>
        <w:gridCol w:w="1301"/>
        <w:gridCol w:w="1301"/>
        <w:gridCol w:w="18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6"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Manuel Perez Dubuc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Manuel Perez Dubuc </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AS AMENDED,</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rPr/>
      </w:pPr>
      <w:r>
        <w:rPr/>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I, Dennis Fehr, certify that:</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Fluence Energy, Inc;</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spacing w:lineRule="auto" w:line="288" w:before="160" w:after="283"/>
        <w:ind w:left="0" w:right="0" w:firstLine="360"/>
        <w:rPr/>
      </w:pPr>
      <w:r>
        <w:rPr>
          <w:rFonts w:ascii="Times New Roman;sans-serif" w:hAnsi="Times New Roman;sans-serif"/>
          <w:b w:val="false"/>
          <w:color w:val="000000"/>
          <w:sz w:val="20"/>
        </w:rPr>
        <w:t>b) [</w:t>
      </w:r>
      <w:r>
        <w:rPr>
          <w:rFonts w:ascii="Times New Roman;sans-serif" w:hAnsi="Times New Roman;sans-serif"/>
          <w:b w:val="false"/>
          <w:color w:val="000000"/>
          <w:sz w:val="20"/>
          <w:highlight w:val="white"/>
        </w:rPr>
        <w:t>Omitted.]</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160" w:after="283"/>
        <w:ind w:left="0" w:right="0" w:firstLine="36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p>
      <w:pPr>
        <w:pStyle w:val="TextBody"/>
        <w:spacing w:before="0" w:after="0"/>
        <w:rPr/>
      </w:pPr>
      <w:r>
        <w:rPr/>
      </w:r>
    </w:p>
    <w:tbl>
      <w:tblPr>
        <w:tblW w:w="6008" w:type="dxa"/>
        <w:jc w:val="left"/>
        <w:tblInd w:w="0" w:type="dxa"/>
        <w:tblCellMar>
          <w:top w:w="28" w:type="dxa"/>
          <w:left w:w="28" w:type="dxa"/>
          <w:bottom w:w="28" w:type="dxa"/>
          <w:right w:w="28" w:type="dxa"/>
        </w:tblCellMar>
      </w:tblPr>
      <w:tblGrid>
        <w:gridCol w:w="124"/>
        <w:gridCol w:w="109"/>
        <w:gridCol w:w="109"/>
        <w:gridCol w:w="197"/>
        <w:gridCol w:w="197"/>
        <w:gridCol w:w="197"/>
        <w:gridCol w:w="197"/>
        <w:gridCol w:w="197"/>
        <w:gridCol w:w="197"/>
        <w:gridCol w:w="1313"/>
        <w:gridCol w:w="1313"/>
        <w:gridCol w:w="18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6"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Fluence Energy, Inc.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Dennis Fehr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Dennis Fehr </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w:t>
        <w:noBreakHyphen/>
        <w:t>Q of Fluence Energy, Inc. (the “Company”) for the quarter ended March 31, 2022 as filed with the Securities and Exchange Commission on the date hereof (the “Report”), I, Manuel Perez Dubuc, Chief Executive Officer of the Company, certifies, pursuant to 18 U.S.C. Section 1350, as adopted pursuant to Section 906 of the Sarbanes</w:t>
        <w:noBreakHyphen/>
        <w:t>Oxley Act of 2002, that, to the best of my knowledge:</w:t>
      </w:r>
    </w:p>
    <w:p>
      <w:pPr>
        <w:pStyle w:val="TextBody"/>
        <w:spacing w:lineRule="auto" w:line="288" w:before="160" w:after="283"/>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88" w:before="160" w:after="283"/>
        <w:ind w:left="0" w:right="0" w:hanging="27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spacing w:before="160" w:after="283"/>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p>
      <w:pPr>
        <w:pStyle w:val="TextBody"/>
        <w:spacing w:before="160" w:after="283"/>
        <w:rPr/>
      </w:pPr>
      <w:r>
        <w:rPr/>
      </w:r>
    </w:p>
    <w:p>
      <w:pPr>
        <w:pStyle w:val="TextBody"/>
        <w:spacing w:before="160" w:after="283"/>
        <w:rPr/>
      </w:pPr>
      <w:r>
        <w:rPr/>
      </w:r>
    </w:p>
    <w:tbl>
      <w:tblPr>
        <w:tblW w:w="5527" w:type="dxa"/>
        <w:jc w:val="left"/>
        <w:tblInd w:w="0" w:type="dxa"/>
        <w:tblCellMar>
          <w:top w:w="28" w:type="dxa"/>
          <w:left w:w="28" w:type="dxa"/>
          <w:bottom w:w="28" w:type="dxa"/>
          <w:right w:w="28" w:type="dxa"/>
        </w:tblCellMar>
      </w:tblPr>
      <w:tblGrid>
        <w:gridCol w:w="124"/>
        <w:gridCol w:w="109"/>
        <w:gridCol w:w="109"/>
        <w:gridCol w:w="134"/>
        <w:gridCol w:w="134"/>
        <w:gridCol w:w="136"/>
        <w:gridCol w:w="109"/>
        <w:gridCol w:w="109"/>
        <w:gridCol w:w="109"/>
        <w:gridCol w:w="1301"/>
        <w:gridCol w:w="1301"/>
        <w:gridCol w:w="18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Manuel Perez Dubuc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Manuel Perez Dubuc </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jc w:val="right"/>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rPr/>
      </w:pPr>
      <w:r>
        <w:rPr/>
      </w:r>
    </w:p>
    <w:p>
      <w:pPr>
        <w:pStyle w:val="TextBody"/>
        <w:spacing w:lineRule="auto" w:line="288" w:before="1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w:t>
        <w:noBreakHyphen/>
        <w:t>Q of Fluence Energy, Inc. (the “Company”) for the quarter ended March 31, 2022 as filed with the Securities and Exchange Commission on the date hereof (the “Report”), I, Dennis Fehr, Chief Financial Officer of the Company, certifies, pursuant to 18 U.S.C. Section 1350, as adopted pursuant to Section 906 of the Sarbanes</w:t>
        <w:noBreakHyphen/>
        <w:t>Oxley Act of 2002, that, to the best of my knowledge:</w:t>
      </w:r>
    </w:p>
    <w:p>
      <w:pPr>
        <w:pStyle w:val="TextBody"/>
        <w:spacing w:lineRule="auto" w:line="288" w:before="160" w:after="283"/>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88" w:before="160" w:after="283"/>
        <w:ind w:left="0" w:right="0" w:hanging="27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spacing w:before="160" w:after="283"/>
        <w:rPr/>
      </w:pPr>
      <w:r>
        <w:rPr/>
      </w:r>
    </w:p>
    <w:p>
      <w:pPr>
        <w:pStyle w:val="TextBody"/>
        <w:spacing w:lineRule="auto" w:line="288" w:before="160" w:after="283"/>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p>
      <w:pPr>
        <w:pStyle w:val="TextBody"/>
        <w:spacing w:before="160" w:after="283"/>
        <w:rPr/>
      </w:pPr>
      <w:r>
        <w:rPr/>
      </w:r>
    </w:p>
    <w:tbl>
      <w:tblPr>
        <w:tblW w:w="5557" w:type="dxa"/>
        <w:jc w:val="left"/>
        <w:tblInd w:w="0" w:type="dxa"/>
        <w:tblCellMar>
          <w:top w:w="28" w:type="dxa"/>
          <w:left w:w="28" w:type="dxa"/>
          <w:bottom w:w="28" w:type="dxa"/>
          <w:right w:w="28" w:type="dxa"/>
        </w:tblCellMar>
      </w:tblPr>
      <w:tblGrid>
        <w:gridCol w:w="124"/>
        <w:gridCol w:w="109"/>
        <w:gridCol w:w="109"/>
        <w:gridCol w:w="134"/>
        <w:gridCol w:w="134"/>
        <w:gridCol w:w="136"/>
        <w:gridCol w:w="109"/>
        <w:gridCol w:w="109"/>
        <w:gridCol w:w="109"/>
        <w:gridCol w:w="1307"/>
        <w:gridCol w:w="1307"/>
        <w:gridCol w:w="18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8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Dennis Fehr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Dennis Fehr </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8941/000186894121000012/fluenceenergyllc10-k2021.htm" TargetMode="External"/><Relationship Id="rId3" Type="http://schemas.openxmlformats.org/officeDocument/2006/relationships/hyperlink" Target="https://www.sec.gov/Archives/edgar/data/0001868941/000110465921133771/tm2120236d16_ex3-1.htm" TargetMode="External"/><Relationship Id="rId4" Type="http://schemas.openxmlformats.org/officeDocument/2006/relationships/hyperlink" Target="https://www.sec.gov/Archives/edgar/data/0001868941/000110465921133771/tm2120236d16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22974</Words>
  <CharactersWithSpaces>147759</CharactersWithSpaces>
  <Paragraphs>2453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