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Zahurancik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20"/>
        <w:spacing w:after="0" w:line="320" w:lineRule="auto"/>
        <w:rPr>
          <w:sz w:val="20"/>
          <w:szCs w:val="20"/>
          <w:color w:val="auto"/>
        </w:rPr>
      </w:pPr>
      <w:r>
        <w:rPr>
          <w:rFonts w:ascii="Times New Roman" w:cs="Times New Roman" w:eastAsia="Times New Roman" w:hAnsi="Times New Roman"/>
          <w:sz w:val="17"/>
          <w:szCs w:val="17"/>
          <w:color w:val="0000FF"/>
        </w:rPr>
        <w:t>C/O FLUENCE ENERGY, INC. 4601 FAIRFAX DRIVE, SUITE 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Fluence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SVP &amp; CCSO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80" w:type="dxa"/>
            <w:vAlign w:val="bottom"/>
            <w:gridSpan w:val="7"/>
          </w:tcPr>
          <w:p>
            <w:pPr>
              <w:ind w:left="10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ARLINGTON   VA</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22203</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7"/>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06/22/2026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16,000</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25.179</w:t>
            </w:r>
            <w:r>
              <w:rPr>
                <w:rFonts w:ascii="Times New Roman" w:cs="Times New Roman" w:eastAsia="Times New Roman" w:hAnsi="Times New Roman"/>
                <w:sz w:val="22"/>
                <w:szCs w:val="22"/>
                <w:color w:val="008000"/>
                <w:w w:val="98"/>
                <w:vertAlign w:val="superscript"/>
              </w:rPr>
              <w:t>(1)</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87,145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06/23/2026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15,974</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22.0257</w:t>
            </w:r>
            <w:r>
              <w:rPr>
                <w:rFonts w:ascii="Times New Roman" w:cs="Times New Roman" w:eastAsia="Times New Roman" w:hAnsi="Times New Roman"/>
                <w:sz w:val="22"/>
                <w:szCs w:val="22"/>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71,171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open market transactions at prices ranging from $24.52 to $25.63, inclusive. The reporting person undertakes to provide to Fluence Energy, Inc. ("Fluence"), any security holder of Fluence, or the staff of the Securities and Exchange Commission, upon request, full information regarding the number of shares sold at each separate price within the range indicated in this footnote.</w:t>
      </w:r>
    </w:p>
    <w:p>
      <w:pPr>
        <w:spacing w:after="0" w:line="20" w:lineRule="exact"/>
        <w:rPr>
          <w:rFonts w:ascii="Times New Roman" w:cs="Times New Roman" w:eastAsia="Times New Roman" w:hAnsi="Times New Roman"/>
          <w:sz w:val="13"/>
          <w:szCs w:val="13"/>
          <w:color w:val="008000"/>
        </w:rPr>
      </w:pPr>
    </w:p>
    <w:p>
      <w:pPr>
        <w:jc w:val="both"/>
        <w:ind w:left="40" w:right="5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open market transactions at prices ranging from $21.24 to $22.94, inclusive. The reporting person undertakes to provide to Fluence, any security holder of Fluence, or the staff of the Securities and Exchange Commission, upon request, full information regarding the number of shares sold at each separate price within the range indicated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Leah Patterson as Attorney- </w:t>
      </w:r>
      <w:r>
        <w:rPr>
          <w:rFonts w:ascii="Times New Roman" w:cs="Times New Roman" w:eastAsia="Times New Roman" w:hAnsi="Times New Roman"/>
          <w:sz w:val="34"/>
          <w:szCs w:val="34"/>
          <w:color w:val="0000FF"/>
          <w:vertAlign w:val="subscript"/>
        </w:rPr>
        <w:t>06/24/2026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John Zahurancik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06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65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3064" TargetMode="External"/><Relationship Id="rId14" Type="http://schemas.openxmlformats.org/officeDocument/2006/relationships/hyperlink" Target="http://www.sec.gov/cgi-bin/browse-edgar?action=getcompany&amp;CIK=00018689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2026-06-24T19:19:11Z</dcterms:created>
  <dcterms:modified xsi:type="dcterms:W3CDTF">2026-06-24T19:19:11Z</dcterms:modified>
</cp:coreProperties>
</file>